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Retirement Savings and Financial Wellbeing Policy</w:t>
      </w:r>
    </w:p>
    <w:p>
      <w:pPr>
        <w:spacing w:after="120" w:line="269" w:lineRule="auto"/>
      </w:pPr>
      <w:r>
        <w:t>BR-HR-015  |  Category: Benefits  |  Country: Brazil  |  Version 3.0</w:t>
      </w:r>
    </w:p>
    <w:p>
      <w:pPr>
        <w:spacing w:after="120" w:line="269" w:lineRule="auto"/>
      </w:pPr>
      <w:r>
        <w:t>Policy owner: benefits@company.com  |  Related documents: BR-HR-011, BR-HR-028, BR-HR-046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retirement savings and financial wellbeing.</w:t>
      </w:r>
    </w:p>
    <w:p>
      <w:pPr>
        <w:spacing w:after="120" w:line="269" w:lineRule="auto"/>
      </w:pPr>
      <w:r>
        <w:t>Questions about this document should be sent to benefits@company.com.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Brazil payroll includes statutory social-security withholding (INSS) and employer FGTS deposits. The FGTS deposit is paid by the company to the employee's linked account each month in line with local rules; it is not deducted from net pay.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benefits@company.com</w:t>
      </w:r>
    </w:p>
    <w:p>
      <w:pPr>
        <w:pStyle w:val="ListBullet"/>
        <w:spacing w:after="60"/>
      </w:pPr>
      <w:r>
        <w:t>Eligibility: employees on Brazil payroll</w:t>
      </w:r>
    </w:p>
    <w:p>
      <w:pPr>
        <w:pStyle w:val="ListBullet"/>
        <w:spacing w:after="60"/>
      </w:pPr>
      <w:r>
        <w:t>Life-event change window: 30 calendar days</w:t>
      </w:r>
    </w:p>
    <w:p>
      <w:pPr>
        <w:pStyle w:val="Heading1"/>
        <w:spacing w:before="180" w:after="60"/>
      </w:pPr>
      <w:r>
        <w:t>Participation Rules</w:t>
      </w:r>
    </w:p>
    <w:p>
      <w:pPr>
        <w:spacing w:after="120" w:line="269" w:lineRule="auto"/>
      </w:pPr>
      <w:r>
        <w:t>Optional private pension arrangements, if offered, are described separately and are not assumed by default. Employees should review the monthly payslip to confirm statutory deductions and ask payroll about discrepancies.</w:t>
      </w:r>
    </w:p>
    <w:p>
      <w:pPr>
        <w:pStyle w:val="Heading1"/>
        <w:spacing w:before="180" w:after="60"/>
      </w:pPr>
      <w:r>
        <w:t>Financial Wellbeing Resources</w:t>
      </w:r>
    </w:p>
    <w:p>
      <w:pPr>
        <w:spacing w:after="120" w:line="269" w:lineRule="auto"/>
      </w:pPr>
      <w:r>
        <w:t>Financial wellbeing resources may include budgeting guidance, salary-structure explanations, and education on statutory and voluntary savings options. These materials are informational only and do not replace personal financial advice.</w:t>
      </w:r>
    </w:p>
    <w:p>
      <w:pPr>
        <w:pStyle w:val="Heading1"/>
        <w:spacing w:before="180" w:after="60"/>
      </w:pPr>
      <w:r>
        <w:t>Examples</w:t>
      </w:r>
    </w:p>
    <w:p>
      <w:pPr>
        <w:spacing w:after="120" w:line="269" w:lineRule="auto"/>
      </w:pPr>
      <w:r>
        <w:t>If an employee reviews a payslip and cannot reconcile the INSS deduction or wants to confirm FGTS deposit timing, payroll@company.com should be contacted with the competence month.</w:t>
      </w:r>
    </w:p>
    <w:p>
      <w:pPr>
        <w:spacing w:after="120" w:line="269" w:lineRule="auto"/>
      </w:pPr>
      <w:r>
        <w:t>Any optional private-pension offer is communicated separately and should not be assumed from the existence of FGTS or INSS deductions.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BR-HR-011, BR-HR-028, BR-HR-046.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benefits@company.com.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