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Bereavement Leave Policy</w:t>
      </w:r>
    </w:p>
    <w:p>
      <w:pPr>
        <w:spacing w:after="120" w:line="269" w:lineRule="auto"/>
      </w:pPr>
      <w:r>
        <w:t>BR-HR-019  |  Category: Leave  |  Country: Brazil  |  Version 3.0</w:t>
      </w:r>
    </w:p>
    <w:p>
      <w:pPr>
        <w:spacing w:after="120" w:line="269" w:lineRule="auto"/>
      </w:pPr>
      <w:r>
        <w:t>Policy owner: peopleteam@company.com  |  Related documents: BR-HR-020, BR-HR-021, BR-HR-047</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bereavement leave.</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Employees may take paid bereavement leave of up to 2 consecutive workdays for the death of an immediate family member. For the death of an extended family member or another person with a similarly close relationship, the usual allowance is 1 paid workday, subject to manager confirmation and any more protective collective-agreement rule.</w:t>
      </w:r>
    </w:p>
    <w:p>
      <w:pPr>
        <w:pStyle w:val="Heading2"/>
        <w:spacing w:before="140" w:after="40"/>
      </w:pPr>
      <w:r>
        <w:t>Quick Reference</w:t>
      </w:r>
    </w:p>
    <w:p>
      <w:pPr>
        <w:pStyle w:val="ListBullet"/>
        <w:spacing w:after="60"/>
      </w:pPr>
      <w:r>
        <w:t>Questions: peopleteam@company.com</w:t>
      </w:r>
    </w:p>
    <w:p>
      <w:pPr>
        <w:pStyle w:val="ListBullet"/>
        <w:spacing w:after="60"/>
      </w:pPr>
      <w:r>
        <w:t>Managers approve ordinary planned leave; HR owns exceptions and statutory leave review.</w:t>
      </w:r>
    </w:p>
    <w:p>
      <w:pPr>
        <w:pStyle w:val="ListBullet"/>
        <w:spacing w:after="60"/>
      </w:pPr>
      <w:r>
        <w:t>Employees should notify their manager as soon as practicable and may contact peopleteam@company.com for support with bereavement leave arrangements and documentation requirements.</w:t>
      </w:r>
    </w:p>
    <w:p>
      <w:pPr>
        <w:pStyle w:val="Heading1"/>
        <w:spacing w:before="180" w:after="60"/>
      </w:pPr>
      <w:r>
        <w:t>Definitions and Flexibility</w:t>
      </w:r>
    </w:p>
    <w:p>
      <w:pPr>
        <w:spacing w:after="120" w:line="269" w:lineRule="auto"/>
      </w:pPr>
      <w:r>
        <w:t>Immediate family generally includes spouse or domestic partner, child, parent, sibling, grandparent, grandchild, or another dependent living in the employee's household. Local addenda may expand this list where customary or legally required.</w:t>
      </w:r>
    </w:p>
    <w:p>
      <w:pPr>
        <w:spacing w:after="120" w:line="269" w:lineRule="auto"/>
      </w:pPr>
      <w:r>
        <w:t>Managers should apply the policy with compassion. If travel, rituals, or estate duties make the baseline insufficient, the employee may request annual vacation, unpaid leave, remote-work flexibility, or an exception review. People Team may approve an additional paid day in documented long-distance travel cases where business coverage allows.</w:t>
      </w:r>
    </w:p>
    <w:p>
      <w:pPr>
        <w:pStyle w:val="Heading1"/>
        <w:spacing w:before="180" w:after="60"/>
      </w:pPr>
      <w:r>
        <w:t>Documentation and Handling</w:t>
      </w:r>
    </w:p>
    <w:p>
      <w:pPr>
        <w:spacing w:after="120" w:line="269" w:lineRule="auto"/>
      </w:pPr>
      <w:r>
        <w:t>The company normally relies on employee attestation and does not require intrusive proof for short bereavement leave unless misuse is reasonably suspected. HR may request limited documentation where payroll or statutory reimbursement rules require it.</w:t>
      </w:r>
    </w:p>
    <w:p>
      <w:pPr>
        <w:spacing w:after="120" w:line="269" w:lineRule="auto"/>
      </w:pPr>
      <w:r>
        <w:t>Team announcements should respect privacy. Managers should confirm with the employee what may be shared and what should remain confidential.</w:t>
      </w:r>
    </w:p>
    <w:p>
      <w:pPr>
        <w:pStyle w:val="Heading1"/>
        <w:spacing w:before="180" w:after="60"/>
      </w:pPr>
      <w:r>
        <w:t>Examples</w:t>
      </w:r>
    </w:p>
    <w:p>
      <w:pPr>
        <w:spacing w:after="120" w:line="269" w:lineRule="auto"/>
      </w:pPr>
      <w:r>
        <w:t>An employee who loses a parent may take 2 paid workdays and may combine them with approved annual-vacation days or another approved leave arrangement for travel if needed.</w:t>
      </w:r>
    </w:p>
    <w:p>
      <w:pPr>
        <w:spacing w:after="120" w:line="269" w:lineRule="auto"/>
      </w:pPr>
      <w:r>
        <w:t>An employee seeking leave for the death of a close aunt may be approved for 1 paid workday under the extended-family rule or more time through annual vacation, unpaid leave, or an approved exception.</w:t>
      </w:r>
    </w:p>
    <w:p>
      <w:pPr>
        <w:pStyle w:val="Heading1"/>
        <w:spacing w:before="180" w:after="60"/>
      </w:pPr>
      <w:r>
        <w:t>Governance</w:t>
      </w:r>
    </w:p>
    <w:p>
      <w:pPr>
        <w:spacing w:after="120" w:line="269" w:lineRule="auto"/>
      </w:pPr>
      <w:r>
        <w:t>This document should be read together with BR-HR-020, BR-HR-021, BR-HR-047.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