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Background Verification and Pre-Employment Checks</w:t>
      </w:r>
    </w:p>
    <w:p>
      <w:pPr>
        <w:spacing w:after="120" w:line="269" w:lineRule="auto"/>
      </w:pPr>
      <w:r>
        <w:t>BR-HR-032  |  Category: Recruitment  |  Country: Brazil  |  Version 3.0</w:t>
      </w:r>
    </w:p>
    <w:p>
      <w:pPr>
        <w:spacing w:after="120" w:line="269" w:lineRule="auto"/>
      </w:pPr>
      <w:r>
        <w:t>Policy owner: recruitment@company.com  |  Related documents: BR-HR-029, BR-HR-030, BR-HR-033</w:t>
      </w:r>
    </w:p>
    <w:p>
      <w:pPr>
        <w:pStyle w:val="Heading1"/>
        <w:spacing w:before="180" w:after="60"/>
      </w:pPr>
      <w:r>
        <w:t>Policy Summary</w:t>
      </w:r>
    </w:p>
    <w:p>
      <w:pPr>
        <w:spacing w:after="120" w:line="269" w:lineRule="auto"/>
      </w:pPr>
      <w:r>
        <w:t>This procedure explains how requests, approvals, documentation, and follow-up are handled for background verification and pre-employment checks.</w:t>
      </w:r>
    </w:p>
    <w:p>
      <w:pPr>
        <w:spacing w:after="120" w:line="269" w:lineRule="auto"/>
      </w:pPr>
      <w:r>
        <w:t>Questions about this document should be sent to recruitment@company.com. When a matter spans more than one process, the receiving team may coordinate with the relevant function named in the related documents.</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spacing w:after="120" w:line="269" w:lineRule="auto"/>
      </w:pPr>
      <w:r>
        <w:t>Pre-employment checks in Brazil may include identity verification, education verification, prior-employment confirmation, lawful criminal-record review where justified, and role-specific checks that are proportionate and disclosed to the candidate in advance.</w:t>
      </w:r>
    </w:p>
    <w:p>
      <w:pPr>
        <w:pStyle w:val="Heading2"/>
        <w:spacing w:before="140" w:after="40"/>
      </w:pPr>
      <w:r>
        <w:t>Quick Reference</w:t>
      </w:r>
    </w:p>
    <w:p>
      <w:pPr>
        <w:pStyle w:val="ListBullet"/>
        <w:spacing w:after="60"/>
      </w:pPr>
      <w:r>
        <w:t>Questions: recruitment@company.com</w:t>
      </w:r>
    </w:p>
    <w:p>
      <w:pPr>
        <w:pStyle w:val="ListBullet"/>
        <w:spacing w:after="60"/>
      </w:pPr>
      <w:r>
        <w:t>Interview feedback target: 2 business days</w:t>
      </w:r>
    </w:p>
    <w:p>
      <w:pPr>
        <w:pStyle w:val="ListBullet"/>
        <w:spacing w:after="60"/>
      </w:pPr>
      <w:r>
        <w:t>Candidate privacy rules apply to all resumes, notes, and assessment results.</w:t>
      </w:r>
    </w:p>
    <w:p>
      <w:pPr>
        <w:pStyle w:val="Heading1"/>
        <w:spacing w:before="180" w:after="60"/>
      </w:pPr>
      <w:r>
        <w:t>Verification Principles</w:t>
      </w:r>
    </w:p>
    <w:p>
      <w:pPr>
        <w:spacing w:after="120" w:line="269" w:lineRule="auto"/>
      </w:pPr>
      <w:r>
        <w:t>Checks should be completed only after the company has reached the appropriate stage in the hiring process for the jurisdiction and role. Hiring teams should not request more information than is reasonably necessary for the role or local compliance requirements.</w:t>
      </w:r>
    </w:p>
    <w:p>
      <w:pPr>
        <w:spacing w:after="120" w:line="269" w:lineRule="auto"/>
      </w:pPr>
      <w:r>
        <w:t>Candidates should be told promptly if a delay in background checks is likely to affect the start date or offer timeline.</w:t>
      </w:r>
    </w:p>
    <w:p>
      <w:pPr>
        <w:pStyle w:val="Heading1"/>
        <w:spacing w:before="180" w:after="60"/>
      </w:pPr>
      <w:r>
        <w:t>Governance</w:t>
      </w:r>
    </w:p>
    <w:p>
      <w:pPr>
        <w:spacing w:after="120" w:line="269" w:lineRule="auto"/>
      </w:pPr>
      <w:r>
        <w:t>This document should be read together with BR-HR-029, BR-HR-030, BR-HR-033.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recruitment@company.com.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