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Working Hours and Availability Expectations</w:t>
      </w:r>
    </w:p>
    <w:p>
      <w:pPr>
        <w:spacing w:after="120" w:line="269" w:lineRule="auto"/>
      </w:pPr>
      <w:r>
        <w:t>BR-HR-038  |  Category: HR Operations  |  Country: Brazil  |  Version 3.0</w:t>
      </w:r>
    </w:p>
    <w:p>
      <w:pPr>
        <w:spacing w:after="120" w:line="269" w:lineRule="auto"/>
      </w:pPr>
      <w:r>
        <w:t>Policy owner: peopleteam@company.com  |  Related documents: BR-HR-016, BR-HR-022, BR-HR-027, BR-HR-036</w:t>
      </w:r>
    </w:p>
    <w:p>
      <w:pPr>
        <w:pStyle w:val="Heading1"/>
        <w:spacing w:before="180" w:after="60"/>
      </w:pPr>
      <w:r>
        <w:t>Policy Summary</w:t>
      </w:r>
    </w:p>
    <w:p>
      <w:pPr>
        <w:spacing w:after="120" w:line="269" w:lineRule="auto"/>
      </w:pPr>
      <w:r>
        <w:t>This document explains the company's approach to working hours and availability expectations.</w:t>
      </w:r>
    </w:p>
    <w:p>
      <w:pPr>
        <w:spacing w:after="120" w:line="269" w:lineRule="auto"/>
      </w:pPr>
      <w:r>
        <w:t>Questions about this document should be sent to peopleteam@company.com. When a matter spans more than one process, the receiving team may coordinate with the relevant function named in the related documents.</w:t>
      </w:r>
    </w:p>
    <w:p>
      <w:pPr>
        <w:spacing w:after="120" w:line="269" w:lineRule="auto"/>
      </w:pPr>
      <w:r>
        <w:t>This Brazil edition applies to employees hired on the Brazil payroll. Brazilian labor law, collective agreements where applicable, and written contract terms control where they provide greater protection or require a different process.</w:t>
      </w:r>
    </w:p>
    <w:p>
      <w:pPr>
        <w:spacing w:after="120" w:line="269" w:lineRule="auto"/>
      </w:pPr>
      <w:r>
        <w:t>The standard Brazil office schedule is 40 hours per week unless the employment agreement states otherwise. Employees should generally be available during the shared collaboration window of 10:00 to 16:00 local time, and any extension beyond the approved schedule must be recorded according to local timekeeping rules.</w:t>
      </w:r>
    </w:p>
    <w:p>
      <w:pPr>
        <w:pStyle w:val="Heading2"/>
        <w:spacing w:before="140" w:after="40"/>
      </w:pPr>
      <w:r>
        <w:t>Quick Reference</w:t>
      </w:r>
    </w:p>
    <w:p>
      <w:pPr>
        <w:pStyle w:val="ListBullet"/>
        <w:spacing w:after="60"/>
      </w:pPr>
      <w:r>
        <w:t>Questions: peopleteam@company.com</w:t>
      </w:r>
    </w:p>
    <w:p>
      <w:pPr>
        <w:pStyle w:val="ListBullet"/>
        <w:spacing w:after="60"/>
      </w:pPr>
      <w:r>
        <w:t>Escalate sensitive matters on the same business day.</w:t>
      </w:r>
    </w:p>
    <w:p>
      <w:pPr>
        <w:pStyle w:val="ListBullet"/>
        <w:spacing w:after="60"/>
      </w:pPr>
      <w:r>
        <w:t>Document decisions that affect pay, access, leave, or employment status.</w:t>
      </w:r>
    </w:p>
    <w:p>
      <w:pPr>
        <w:pStyle w:val="Heading1"/>
        <w:spacing w:before="180" w:after="60"/>
      </w:pPr>
      <w:r>
        <w:t>Working Hours and Availability</w:t>
      </w:r>
    </w:p>
    <w:p>
      <w:pPr>
        <w:spacing w:after="120" w:line="269" w:lineRule="auto"/>
      </w:pPr>
      <w:r>
        <w:t>Breaks, meal periods, and rest requirements follow local law. Managers should not create a culture of implied constant availability outside scheduled hours.</w:t>
      </w:r>
    </w:p>
    <w:p>
      <w:pPr>
        <w:spacing w:after="120" w:line="269" w:lineRule="auto"/>
      </w:pPr>
      <w:r>
        <w:t>Globally distributed teams should rotate meeting inconvenience over time rather than always scheduling outside the same region's normal hours.</w:t>
      </w:r>
    </w:p>
    <w:p>
      <w:pPr>
        <w:pStyle w:val="Heading1"/>
        <w:spacing w:before="180" w:after="60"/>
      </w:pPr>
      <w:r>
        <w:t>Governance</w:t>
      </w:r>
    </w:p>
    <w:p>
      <w:pPr>
        <w:spacing w:after="120" w:line="269" w:lineRule="auto"/>
      </w:pPr>
      <w:r>
        <w:t>This document should be read together with BR-HR-016, BR-HR-022, BR-HR-027, BR-HR-036. Where a process touches payroll, leave, performance, or data privacy, the specialized document governs the detailed step-by-step rules and this document supplies the policy intent.</w:t>
      </w:r>
    </w:p>
    <w:p>
      <w:pPr>
        <w:spacing w:after="120" w:line="269" w:lineRule="auto"/>
      </w:pPr>
      <w:r>
        <w:t>Managers are expected to apply policy consistently, document exceptions, and avoid verbal promises that override published rules. HR teams must keep case information on a need-to-know basis and use written summaries whenever a decision materially affects pay, benefits, schedule, or employment status.</w:t>
      </w:r>
    </w:p>
    <w:p>
      <w:pPr>
        <w:spacing w:after="120" w:line="269" w:lineRule="auto"/>
      </w:pPr>
      <w:r>
        <w:t>Examples in this document are illustrative and are included to clarify how the policy is applied in common workplace situations. They do not replace local legal requirements or country-specific statutory entitlements.</w:t>
      </w:r>
    </w:p>
    <w:p>
      <w:pPr>
        <w:pStyle w:val="Heading1"/>
        <w:spacing w:before="180" w:after="60"/>
      </w:pPr>
      <w:r>
        <w:t>Illustrative FAQ</w:t>
      </w:r>
    </w:p>
    <w:p>
      <w:pPr>
        <w:pStyle w:val="ListBullet"/>
        <w:spacing w:after="60"/>
      </w:pPr>
      <w:r>
        <w:t>Who should I contact first? Start with peopleteam@company.com. If the issue belongs to another team, the receiving team will redirect it or ask the right function to join.</w:t>
      </w:r>
    </w:p>
    <w:p>
      <w:pPr>
        <w:pStyle w:val="ListBullet"/>
        <w:spacing w:after="60"/>
      </w:pPr>
      <w:r>
        <w:t>Can a manager override the policy verbally? No. Managers may explain context and recommend an exception, but decisions that affect pay, statutory rights, benefits, privacy, or discipline must follow the documented process.</w:t>
      </w:r>
    </w:p>
    <w:p>
      <w:pPr>
        <w:pStyle w:val="ListBullet"/>
        <w:spacing w:after="60"/>
      </w:pPr>
      <w:r>
        <w:t>What happens when Brazilian labor law, a collective agreement, or a written contract term conflicts with this document? The more protective local requirement or written term controls.</w:t>
      </w:r>
    </w:p>
    <w:sectPr w:rsidR="00FC693F" w:rsidRPr="0006063C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86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3864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