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Performance Improvement and Corrective Action Policy</w:t>
      </w:r>
    </w:p>
    <w:p>
      <w:pPr>
        <w:spacing w:after="120" w:line="269" w:lineRule="auto"/>
      </w:pPr>
      <w:r>
        <w:t>BR-HR-043  |  Category: Employee Relations  |  Country: Brazil  |  Version 3.0</w:t>
      </w:r>
    </w:p>
    <w:p>
      <w:pPr>
        <w:spacing w:after="120" w:line="269" w:lineRule="auto"/>
      </w:pPr>
      <w:r>
        <w:t>Policy owner: peopleteam@company.com  |  Related documents: BR-HR-001, BR-HR-003, BR-HR-004, BR-HR-042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performance improvement and corrective action.</w:t>
      </w:r>
    </w:p>
    <w:p>
      <w:pPr>
        <w:spacing w:after="120" w:line="269" w:lineRule="auto"/>
      </w:pPr>
      <w:r>
        <w:t>Questions about this document should be sent to peopleteam@company.com.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Local law, approved regional addenda, and individual contractual terms override this document where they provide greater protection or require a different process.</w:t>
      </w:r>
    </w:p>
    <w:p>
      <w:pPr>
        <w:spacing w:after="120" w:line="269" w:lineRule="auto"/>
      </w:pPr>
      <w:r>
        <w:t>Corrective action is intended to improve performance or conduct through clear expectations, support, and documented follow-up. Common steps include coaching, written expectations, a performance improvement plan, and further action if improvement does not occur.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peopleteam@company.com</w:t>
      </w:r>
    </w:p>
    <w:p>
      <w:pPr>
        <w:pStyle w:val="ListBullet"/>
        <w:spacing w:after="60"/>
      </w:pPr>
      <w:r>
        <w:t>Escalate sensitive matters on the same business day.</w:t>
      </w:r>
    </w:p>
    <w:p>
      <w:pPr>
        <w:pStyle w:val="ListBullet"/>
        <w:spacing w:after="60"/>
      </w:pPr>
      <w:r>
        <w:t>Document decisions that affect pay, access, leave, or employment status.</w:t>
      </w:r>
    </w:p>
    <w:p>
      <w:pPr>
        <w:pStyle w:val="Heading1"/>
        <w:spacing w:before="180" w:after="60"/>
      </w:pPr>
      <w:r>
        <w:t>Performance Improvement and Corrective Action</w:t>
      </w:r>
    </w:p>
    <w:p>
      <w:pPr>
        <w:spacing w:after="120" w:line="269" w:lineRule="auto"/>
      </w:pPr>
      <w:r>
        <w:t>The process should separate skill gaps, willful misconduct, and medical or accommodation issues so the company does not mis-handle a protected situation as simple underperformance.</w:t>
      </w:r>
    </w:p>
    <w:p>
      <w:pPr>
        <w:spacing w:after="120" w:line="269" w:lineRule="auto"/>
      </w:pPr>
      <w:r>
        <w:t>Example: Repeatedly missing deadlines after documented coaching may justify a formal performance plan; a one-time mistake with strong remediation may not.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BR-HR-001, BR-HR-003, BR-HR-004, BR-HR-042.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peopleteam@company.com.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