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Internal Mobility and Role Change Procedure</w:t>
      </w:r>
    </w:p>
    <w:p>
      <w:pPr>
        <w:spacing w:after="120" w:line="269" w:lineRule="auto"/>
      </w:pPr>
      <w:r>
        <w:t>BR-HR-044  |  Category: HR Operations  |  Country: Brazil  |  Version 3.0</w:t>
      </w:r>
    </w:p>
    <w:p>
      <w:pPr>
        <w:spacing w:after="120" w:line="269" w:lineRule="auto"/>
      </w:pPr>
      <w:r>
        <w:t>Policy owner: talentdevelopment@company.com  |  Related documents: BR-HR-028, BR-HR-034, BR-HR-035, BR-HR-045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procedure explains how requests, approvals, documentation, and follow-up are handled for internal mobility and role change.</w:t>
      </w:r>
    </w:p>
    <w:p>
      <w:pPr>
        <w:spacing w:after="120" w:line="269" w:lineRule="auto"/>
      </w:pPr>
      <w:r>
        <w:t>Questions about this document should be sent to talentdevelopment@company.com.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Local law, approved regional addenda, and individual contractual terms override this document where they provide greater protection or require a different process.</w:t>
      </w:r>
    </w:p>
    <w:p>
      <w:pPr>
        <w:spacing w:after="120" w:line="269" w:lineRule="auto"/>
      </w:pPr>
      <w:r>
        <w:t>Employees generally become eligible to apply for internal roles after 12 months in role unless a business exception is approved. Managers should support reasonable internal mobility while maintaining continuity through notice and handover planning.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talentdevelopment@company.com</w:t>
      </w:r>
    </w:p>
    <w:p>
      <w:pPr>
        <w:pStyle w:val="ListBullet"/>
        <w:spacing w:after="60"/>
      </w:pPr>
      <w:r>
        <w:t>Escalate sensitive matters on the same business day.</w:t>
      </w:r>
    </w:p>
    <w:p>
      <w:pPr>
        <w:pStyle w:val="ListBullet"/>
        <w:spacing w:after="60"/>
      </w:pPr>
      <w:r>
        <w:t>Document decisions that affect pay, access, leave, or employment status.</w:t>
      </w:r>
    </w:p>
    <w:p>
      <w:pPr>
        <w:pStyle w:val="Heading1"/>
        <w:spacing w:before="180" w:after="60"/>
      </w:pPr>
      <w:r>
        <w:t>Internal Mobility and Role Change</w:t>
      </w:r>
    </w:p>
    <w:p>
      <w:pPr>
        <w:spacing w:after="120" w:line="269" w:lineRule="auto"/>
      </w:pPr>
      <w:r>
        <w:t>Compensation, level, reporting line, and effective date must be documented before the transfer is communicated broadly.</w:t>
      </w:r>
    </w:p>
    <w:p>
      <w:pPr>
        <w:spacing w:after="120" w:line="269" w:lineRule="auto"/>
      </w:pPr>
      <w:r>
        <w:t>Example: A move from support to project management may include a new probation-like ramp plan even if the employee remains with the company.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BR-HR-028, BR-HR-034, BR-HR-035, BR-HR-045.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talentdevelopment@company.com.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