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Final Pay, Asset Return, and Separation Policy</w:t>
      </w:r>
    </w:p>
    <w:p>
      <w:pPr>
        <w:spacing w:after="120" w:line="269" w:lineRule="auto"/>
      </w:pPr>
      <w:r>
        <w:t>BR-HR-048  |  Category: Offboarding  |  Country: Brazil  |  Version 3.0</w:t>
      </w:r>
    </w:p>
    <w:p>
      <w:pPr>
        <w:spacing w:after="120" w:line="269" w:lineRule="auto"/>
      </w:pPr>
      <w:r>
        <w:t>Policy owner: peopleteam@company.com  |  Related documents: BR-HR-023, BR-HR-024, BR-HR-047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final pay, asset return, and separation.</w:t>
      </w:r>
    </w:p>
    <w:p>
      <w:pPr>
        <w:spacing w:after="120" w:line="269" w:lineRule="auto"/>
      </w:pPr>
      <w:r>
        <w:t>Questions about this document should be sent to peopleteam@company.com.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Final pay in Brazil generally includes earned salary through the separation date, proportional 13th salary where due, proportional and due vacation settlement with the applicable one-third vacation bonus, approved expenses, and lawful deductions. Depending on the separation reason, it may also include notice pay, FGTS-release paperwork, and any applicable severance fine. The settlement should normally be completed within 10 calendar days from the end of employment, subject to any more protective rule.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peopleteam@company.com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Final Pay, Asset Return, and Separation</w:t>
      </w:r>
    </w:p>
    <w:p>
      <w:pPr>
        <w:spacing w:after="120" w:line="269" w:lineRule="auto"/>
      </w:pPr>
      <w:r>
        <w:t>For Brazil employees, vacation settlement follows local labor rules rather than a discretionary payout model. People Team and payroll should explain which vacation periods are due, which are proportional, and which statutory additions or deductions appear on the final statement.</w:t>
      </w:r>
    </w:p>
    <w:p>
      <w:pPr>
        <w:spacing w:after="120" w:line="269" w:lineRule="auto"/>
      </w:pPr>
      <w:r>
        <w:t>If an employee has approved expenses pending at separation, the manager should ensure the claim is submitted and routed before the case is closed.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BR-HR-023, BR-HR-024, BR-HR-047.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peopleteam@company.com.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