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Benefits Eligibility Overview</w:t>
      </w:r>
    </w:p>
    <w:p>
      <w:r>
        <w:t>HR-011  |  Category: Benefits  |  Version 2.2</w:t>
      </w:r>
    </w:p>
    <w:p>
      <w:r>
        <w:t>Policy owner: benefits@company.com  |  Related documents: HR-012, HR-013, HR-014, HR-015</w:t>
      </w:r>
    </w:p>
    <w:p>
      <w:pPr>
        <w:pStyle w:val="Heading1"/>
      </w:pPr>
      <w:r>
        <w:t>Policy Summary</w:t>
      </w:r>
    </w:p>
    <w:p>
      <w:r>
        <w:t>This document explains the company's approach to benefits eligibility overview.</w:t>
      </w:r>
    </w:p>
    <w:p>
      <w:r>
        <w:t>Questions about this document should be sent to benefits@company.com.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Employees regularly scheduled for at least 30 hours per week are generally eligible for company-sponsored benefits beginning the first day of the month following the date of hire. Temporary workers and contractors receive benefits through their employing entity unless a local addendum states otherwise.</w:t>
      </w:r>
    </w:p>
    <w:p>
      <w:pPr>
        <w:pStyle w:val="Heading2"/>
      </w:pPr>
      <w:r>
        <w:t>Quick Reference</w:t>
      </w:r>
    </w:p>
    <w:p>
      <w:pPr>
        <w:pStyle w:val="ListBullet"/>
      </w:pPr>
      <w:r>
        <w:t>Questions: benefits@company.com</w:t>
      </w:r>
    </w:p>
    <w:p>
      <w:pPr>
        <w:pStyle w:val="ListBullet"/>
      </w:pPr>
      <w:r>
        <w:t>Base eligibility threshold: 30 hours per week</w:t>
      </w:r>
    </w:p>
    <w:p>
      <w:pPr>
        <w:pStyle w:val="ListBullet"/>
      </w:pPr>
      <w:r>
        <w:t>Life-event change window: 30 calendar days</w:t>
      </w:r>
    </w:p>
    <w:p>
      <w:pPr>
        <w:pStyle w:val="Heading1"/>
      </w:pPr>
      <w:r>
        <w:t>Covered Programs</w:t>
      </w:r>
    </w:p>
    <w:p>
      <w:r>
        <w:t>The standard benefits package includes medical, dental, and vision coverage; employee assistance and wellness support; retirement savings support where permitted by law; statutory insurance and leave programs; and access to voluntary programs that may vary by country.</w:t>
      </w:r>
    </w:p>
    <w:p>
      <w:r>
        <w:t>Dependent eligibility generally includes a legal spouse or recognized domestic partner where allowed, and eligible children up to the age stated in the plan summary.</w:t>
      </w:r>
    </w:p>
    <w:p>
      <w:pPr>
        <w:pStyle w:val="Heading1"/>
      </w:pPr>
      <w:r>
        <w:t>Operational Rules</w:t>
      </w:r>
    </w:p>
    <w:p>
      <w:r>
        <w:t>New hires must complete enrollment within 30 calendar days of the date of hire. If no election is made, default rules in the local plan guide apply and some coverages may be deferred until the next annual enrollment period.</w:t>
      </w:r>
    </w:p>
    <w:p>
      <w:r>
        <w:t>Questions about claims, coverage, or network providers should go first to the insurer or administrator, while questions about eligibility, payroll deductions, and onboarding timing should go to benefits@company.com.</w:t>
      </w:r>
    </w:p>
    <w:p>
      <w:pPr>
        <w:pStyle w:val="Heading1"/>
      </w:pPr>
      <w:r>
        <w:t>Examples</w:t>
      </w:r>
    </w:p>
    <w:p>
      <w:r>
        <w:t>A full-time employee hired on 10 April becomes eligible under the base policy on 1 May and must complete benefit elections by 10 May.</w:t>
      </w:r>
    </w:p>
    <w:p>
      <w:r>
        <w:t>A contractor working through an external staffing agency should not be enrolled in employee plans unless a local legal arrangement specifically requires it.</w:t>
      </w:r>
    </w:p>
    <w:p>
      <w:pPr>
        <w:pStyle w:val="Heading1"/>
      </w:pPr>
      <w:r>
        <w:t>Governance</w:t>
      </w:r>
    </w:p>
    <w:p>
      <w:r>
        <w:t>This document should be read together with HR-012, HR-013, HR-014, HR-015.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benefits@company.com.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