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Medical, Dental, and Vision Benefits Guide</w:t>
      </w:r>
    </w:p>
    <w:p>
      <w:r>
        <w:t>HR-013  |  Category: Benefits  |  Version 2.2</w:t>
      </w:r>
    </w:p>
    <w:p>
      <w:r>
        <w:t>Policy owner: benefits@company.com  |  Related documents: HR-011, HR-012, HR-017</w:t>
      </w:r>
    </w:p>
    <w:p>
      <w:pPr>
        <w:pStyle w:val="Heading1"/>
      </w:pPr>
      <w:r>
        <w:t>Policy Summary</w:t>
      </w:r>
    </w:p>
    <w:p>
      <w:r>
        <w:t>This guide summarizes the main rules, eligibility criteria, timelines, and examples related to medical, dental, and vision benefits.</w:t>
      </w:r>
    </w:p>
    <w:p>
      <w:r>
        <w:t>Questions about this document should be sent to benefits@company.com. When a matter spans more than one process, the receiving team may coordinate with the relevant function named in the related documents.</w:t>
      </w:r>
    </w:p>
    <w:p>
      <w:r>
        <w:t>Local law, approved regional addenda, and individual contractual terms override this document where they provide greater protection or require a different process.</w:t>
      </w:r>
    </w:p>
    <w:p>
      <w:r>
        <w:t>This guide explains the main categories of company-sponsored medical, dental, and vision coverage. Exact deductibles, copays, or provider networks may vary by country or insurer and are defined by the local plan summary.</w:t>
      </w:r>
    </w:p>
    <w:p>
      <w:pPr>
        <w:pStyle w:val="Heading2"/>
      </w:pPr>
      <w:r>
        <w:t>Quick Reference</w:t>
      </w:r>
    </w:p>
    <w:p>
      <w:pPr>
        <w:pStyle w:val="ListBullet"/>
      </w:pPr>
      <w:r>
        <w:t>Questions: benefits@company.com</w:t>
      </w:r>
    </w:p>
    <w:p>
      <w:pPr>
        <w:pStyle w:val="ListBullet"/>
      </w:pPr>
      <w:r>
        <w:t>Base eligibility threshold: 30 hours per week</w:t>
      </w:r>
    </w:p>
    <w:p>
      <w:pPr>
        <w:pStyle w:val="ListBullet"/>
      </w:pPr>
      <w:r>
        <w:t>Life-event change window: 30 calendar days</w:t>
      </w:r>
    </w:p>
    <w:p>
      <w:pPr>
        <w:pStyle w:val="Heading1"/>
      </w:pPr>
      <w:r>
        <w:t>Medical Coverage</w:t>
      </w:r>
    </w:p>
    <w:p>
      <w:r>
        <w:t>Medical plans generally cover preventive care, physician visits, hospitalization, emergency treatment, and medically necessary prescription drugs subject to the rules of the insurer and local law.</w:t>
      </w:r>
    </w:p>
    <w:p>
      <w:r>
        <w:t>Employees should use in-network providers where the local plan offers that distinction, because reimbursement is usually lower for out-of-network care unless the service is an emergency.</w:t>
      </w:r>
    </w:p>
    <w:p>
      <w:pPr>
        <w:pStyle w:val="Heading1"/>
      </w:pPr>
      <w:r>
        <w:t>Dental and Vision</w:t>
      </w:r>
    </w:p>
    <w:p>
      <w:r>
        <w:t>Dental plans generally cover preventive cleanings and x-rays, with restorative work and orthodontics subject to plan-specific limits. Vision plans usually support annual eye exams and either glasses or contact-lens allowances on a set frequency.</w:t>
      </w:r>
    </w:p>
    <w:p>
      <w:r>
        <w:t>Claim denials should be appealed first through the insurer or administrator. Benefits can help employees understand the process but do not overturn insurer adjudication directly.</w:t>
      </w:r>
    </w:p>
    <w:p>
      <w:pPr>
        <w:pStyle w:val="Heading1"/>
      </w:pPr>
      <w:r>
        <w:t>Examples</w:t>
      </w:r>
    </w:p>
    <w:p>
      <w:r>
        <w:t>A routine annual physical is normally treated as preventive care under the medical plan. A cosmetic-only procedure is generally excluded unless a plan or law says otherwise.</w:t>
      </w:r>
    </w:p>
    <w:p>
      <w:r>
        <w:t>If an employee changes legal name after marriage, they should update the HRIS and benefits portal promptly so claims and dependent records stay aligned.</w:t>
      </w:r>
    </w:p>
    <w:p>
      <w:pPr>
        <w:pStyle w:val="Heading1"/>
      </w:pPr>
      <w:r>
        <w:t>Governance</w:t>
      </w:r>
    </w:p>
    <w:p>
      <w:r>
        <w:t>This document should be read together with HR-011, HR-012, HR-017. Where a process touches payroll, leave, performance, or data privacy, the specialized document governs the detailed step-by-step rules and this document supplies the policy intent.</w:t>
      </w:r>
    </w:p>
    <w:p>
      <w:r>
        <w:t>Managers are expected to apply policy consistently, document exceptions, and avoid verbal promises that override published rules. HR teams must keep case information on a need-to-know basis and use written summaries whenever a decision materially affects pay, benefits, schedule, or employment status.</w:t>
      </w:r>
    </w:p>
    <w:p>
      <w:r>
        <w:t>Examples in this document are illustrative and are included to clarify how the policy is applied in common workplace situations. They do not replace local legal requirements or country-specific statutory entitlements.</w:t>
      </w:r>
    </w:p>
    <w:p>
      <w:pPr>
        <w:pStyle w:val="Heading1"/>
      </w:pPr>
      <w:r>
        <w:t>Illustrative FAQ</w:t>
      </w:r>
    </w:p>
    <w:p>
      <w:pPr>
        <w:pStyle w:val="ListBullet"/>
      </w:pPr>
      <w:r>
        <w:t>Who should I contact first? Start with benefits@company.com. If the issue belongs to another team, the receiving team will redirect it or ask the right function to join.</w:t>
      </w:r>
    </w:p>
    <w:p>
      <w:pPr>
        <w:pStyle w:val="ListBullet"/>
      </w:pPr>
      <w:r>
        <w:t>Can a manager override the policy verbally? No. Managers may explain context and recommend an exception, but decisions that affect pay, statutory rights, benefits, privacy, or discipline must follow the documented process.</w:t>
      </w:r>
    </w:p>
    <w:p>
      <w:pPr>
        <w:pStyle w:val="ListBullet"/>
      </w:pPr>
      <w:r>
        <w:t>What happens when local law conflicts with this document? The stricter local legal requirement or country addendum controls. Employees and managers should follow the applicable regional policy where it grants greater protection or sets a different process.</w:t>
      </w:r>
    </w:p>
    <w:sectPr w:rsidR="00FC693F" w:rsidRPr="0006063C" w:rsidSect="00034616">
      <w:footerReference w:type="default" r:id="rId9"/>
      <w:pgSz w:w="12240" w:h="15840"/>
      <w:pgMar w:top="1008" w:right="1224" w:bottom="86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A497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646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A497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