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Paid Time Off Accrual Policy</w:t>
      </w:r>
    </w:p>
    <w:p>
      <w:r>
        <w:t>HR-016  |  Category: Leave  |  Version 2.2</w:t>
      </w:r>
    </w:p>
    <w:p>
      <w:r>
        <w:t>Policy owner: peopleteam@company.com  |  Related documents: HR-020, HR-021, HR-022, HR-038</w:t>
      </w:r>
    </w:p>
    <w:p>
      <w:pPr>
        <w:pStyle w:val="Heading1"/>
      </w:pPr>
      <w:r>
        <w:t>Policy Summary</w:t>
      </w:r>
    </w:p>
    <w:p>
      <w:r>
        <w:t>This policy sets out the company's rules, responsibilities, and approval requirements for paid time off accrual.</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Paid time off accrues by service band: 18 days per year for employees with less than 3 completed years of service, 22 days for employees with 3 to 7 completed years, and 25 days for employees with 8 or more completed years. PTO is accrued monthly and may be used only after it has been earned unless a local law requires front-loading.</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submit leave requests through the HRIS; questions about balances or exceptions can be sent to peopleteam@company.com so that approvals remain auditable.</w:t>
      </w:r>
    </w:p>
    <w:p>
      <w:pPr>
        <w:pStyle w:val="Heading1"/>
      </w:pPr>
      <w:r>
        <w:t>Accrual and Carryover</w:t>
      </w:r>
    </w:p>
    <w:p>
      <w:r>
        <w:t>Unused PTO may be carried into the next calendar year up to a maximum of 5 days. Carried days must be used by 31 March or they expire unless a statutory rule prevents forfeiture.</w:t>
      </w:r>
    </w:p>
    <w:p>
      <w:r>
        <w:t>Employees on unpaid leave may have accrual paused for the unpaid period if local law allows it. PTO does not accrue during periods in which the employment relationship is suspended or inactive unless local law requires otherwise.</w:t>
      </w:r>
    </w:p>
    <w:p>
      <w:pPr>
        <w:pStyle w:val="Heading1"/>
      </w:pPr>
      <w:r>
        <w:t>Use of PTO</w:t>
      </w:r>
    </w:p>
    <w:p>
      <w:r>
        <w:t>PTO is intended for vacation, rest, personal matters, and short planned absences. It should not be used to avoid the reporting and documentation rules for medical leave, parental leave, bereavement leave, jury service, or other specialized leave types.</w:t>
      </w:r>
    </w:p>
    <w:p>
      <w:r>
        <w:t>Managers may deny a requested date when business coverage would be materially harmed, but they should propose alternatives and apply the same standard across similar roles.</w:t>
      </w:r>
    </w:p>
    <w:p>
      <w:pPr>
        <w:pStyle w:val="Heading1"/>
      </w:pPr>
      <w:r>
        <w:t>Examples</w:t>
      </w:r>
    </w:p>
    <w:p>
      <w:r>
        <w:t>An employee with two years of service accrues 1.5 days of PTO per month under the base rule. If they end December with 7 unused days, 5 may carry to January and 2 expire unless local law says otherwise.</w:t>
      </w:r>
    </w:p>
    <w:p>
      <w:r>
        <w:t>An employee who wants three weeks off should not wait until the last moment. Longer vacations should normally be requested at least four weeks in advance under HR-020.</w:t>
      </w:r>
    </w:p>
    <w:p>
      <w:pPr>
        <w:pStyle w:val="Heading1"/>
      </w:pPr>
      <w:r>
        <w:t>Governance</w:t>
      </w:r>
    </w:p>
    <w:p>
      <w:r>
        <w:t>This document should be read together with HR-020, HR-021, HR-022, HR-038.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