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Parental Leave Policy</w:t>
      </w:r>
    </w:p>
    <w:p>
      <w:r>
        <w:t>HR-018  |  Category: Leave  |  Version 2.2</w:t>
      </w:r>
    </w:p>
    <w:p>
      <w:r>
        <w:t>Policy owner: peopleteam@company.com  |  Related documents: HR-012, HR-020, HR-021, HR-047</w:t>
      </w:r>
    </w:p>
    <w:p>
      <w:pPr>
        <w:pStyle w:val="Heading1"/>
      </w:pPr>
      <w:r>
        <w:t>Policy Summary</w:t>
      </w:r>
    </w:p>
    <w:p>
      <w:r>
        <w:t>This policy sets out the company's rules, responsibilities, and approval requirements for parental leave.</w:t>
      </w:r>
    </w:p>
    <w:p>
      <w:r>
        <w:t>Questions about this document should be sent to peopleteam@company.com.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Eligible employees may take paid parental leave following birth, adoption, or long-term foster placement. Under the base policy, the primary caregiver may take up to 16 weeks of paid parental leave and the supporting caregiver may take up to 8 weeks, subject to local law and insurance coordination.</w:t>
      </w:r>
    </w:p>
    <w:p>
      <w:pPr>
        <w:pStyle w:val="Heading2"/>
      </w:pPr>
      <w:r>
        <w:t>Quick Reference</w:t>
      </w:r>
    </w:p>
    <w:p>
      <w:pPr>
        <w:pStyle w:val="ListBullet"/>
      </w:pPr>
      <w:r>
        <w:t>Questions: peopleteam@company.com</w:t>
      </w:r>
    </w:p>
    <w:p>
      <w:pPr>
        <w:pStyle w:val="ListBullet"/>
      </w:pPr>
      <w:r>
        <w:t>Managers approve ordinary planned leave; HR owns exceptions and statutory leave review.</w:t>
      </w:r>
    </w:p>
    <w:p>
      <w:pPr>
        <w:pStyle w:val="ListBullet"/>
      </w:pPr>
      <w:r>
        <w:t>Employees should submit parental leave requests through the HRIS when available; questions about eligibility, timing, or documentation can be sent to peopleteam@company.com.</w:t>
      </w:r>
    </w:p>
    <w:p>
      <w:pPr>
        <w:pStyle w:val="Heading1"/>
      </w:pPr>
      <w:r>
        <w:t>Eligibility and Timing</w:t>
      </w:r>
    </w:p>
    <w:p>
      <w:r>
        <w:t>Parental leave is available to employees who have completed six months of service by the expected start of leave, unless local law provides earlier eligibility. Leave should normally be taken within twelve months of the qualifying event.</w:t>
      </w:r>
    </w:p>
    <w:p>
      <w:r>
        <w:t>Employees should give at least 30 days of notice when the event is foreseeable. If the event is not foreseeable, notice should be given as soon as practical.</w:t>
      </w:r>
    </w:p>
    <w:p>
      <w:pPr>
        <w:pStyle w:val="Heading1"/>
      </w:pPr>
      <w:r>
        <w:t>Pay and Coordination</w:t>
      </w:r>
    </w:p>
    <w:p>
      <w:r>
        <w:t>Parental leave pay is coordinated with statutory maternity, paternity, adoption, or family-leave programs where applicable. The company tops up only to the level defined in the local addendum; it does not duplicate public benefits.</w:t>
      </w:r>
    </w:p>
    <w:p>
      <w:r>
        <w:t>Benefits continue during paid parental leave on the same basis as active employment. PTO continues to accrue during paid parental leave unless local rules require a different treatment.</w:t>
      </w:r>
    </w:p>
    <w:p>
      <w:pPr>
        <w:pStyle w:val="Heading1"/>
      </w:pPr>
      <w:r>
        <w:t>Examples</w:t>
      </w:r>
    </w:p>
    <w:p>
      <w:r>
        <w:t>A birthing parent in a country with 12 weeks of statutory paid leave and a 16-week company entitlement may receive a company top-up to reach the local target described in the addendum, not 28 stacked weeks unless the local plan expressly allows it.</w:t>
      </w:r>
    </w:p>
    <w:p>
      <w:r>
        <w:t>An adoptive parent who is the primary caregiver may use the 16-week entitlement under the same baseline rule as a birthing parent.</w:t>
      </w:r>
    </w:p>
    <w:p>
      <w:pPr>
        <w:pStyle w:val="Heading1"/>
      </w:pPr>
      <w:r>
        <w:t>Governance</w:t>
      </w:r>
    </w:p>
    <w:p>
      <w:r>
        <w:t>This document should be read together with HR-012, HR-020, HR-021, HR-047.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