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Leave Approval, Documentation, and Scheduling Rules</w:t>
      </w:r>
    </w:p>
    <w:p>
      <w:r>
        <w:t>HR-020  |  Category: Leave  |  Version 2.2</w:t>
      </w:r>
    </w:p>
    <w:p>
      <w:r>
        <w:t>Policy owner: peopleteam@company.com  |  Related documents: HR-016, HR-017, HR-018, HR-019</w:t>
      </w:r>
    </w:p>
    <w:p>
      <w:pPr>
        <w:pStyle w:val="Heading1"/>
      </w:pPr>
      <w:r>
        <w:t>Policy Summary</w:t>
      </w:r>
    </w:p>
    <w:p>
      <w:r>
        <w:t>This document explains the operating rules, documentation requirements, and approval steps for leave approval, documentation, and scheduling.</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This document explains the operational rules for requesting leave, attaching required support, coordinating team coverage, and documenting approvals in a way that is fair, auditable, and practical for employees.</w:t>
      </w:r>
    </w:p>
    <w:p>
      <w:pPr>
        <w:pStyle w:val="Heading2"/>
      </w:pPr>
      <w:r>
        <w:t>Quick Reference</w:t>
      </w:r>
    </w:p>
    <w:p>
      <w:pPr>
        <w:pStyle w:val="ListBullet"/>
      </w:pPr>
      <w:r>
        <w:t>Questions: peopleteam@company.com</w:t>
      </w:r>
    </w:p>
    <w:p>
      <w:pPr>
        <w:pStyle w:val="ListBullet"/>
      </w:pPr>
      <w:r>
        <w:t>Managers approve ordinary planned leave; HR owns exceptions and statutory leave review.</w:t>
      </w:r>
    </w:p>
    <w:p>
      <w:pPr>
        <w:pStyle w:val="ListBullet"/>
      </w:pPr>
      <w:r>
        <w:t>Employees should use the HRIS for leave submissions whenever available; questions about documentation or schedule changes can be sent to peopleteam@company.com so the record remains auditable.</w:t>
      </w:r>
    </w:p>
    <w:p>
      <w:pPr>
        <w:pStyle w:val="Heading1"/>
      </w:pPr>
      <w:r>
        <w:t>Notice Expectations</w:t>
      </w:r>
    </w:p>
    <w:p>
      <w:r>
        <w:t>Single-day planned leave should normally be requested at least two business days in advance. Planned leave of three to five consecutive workdays should usually be requested at least two weeks in advance. Planned leave longer than five consecutive workdays should usually be requested at least four weeks in advance unless an emergency prevents that.</w:t>
      </w:r>
    </w:p>
    <w:p>
      <w:r>
        <w:t>Emergency absences should be reported as soon as practical, ideally before the scheduled start time. A colleague may notify the manager on the employee's behalf when the employee is unable to do so.</w:t>
      </w:r>
    </w:p>
    <w:p>
      <w:pPr>
        <w:pStyle w:val="Heading1"/>
      </w:pPr>
      <w:r>
        <w:t>Approval Rules</w:t>
      </w:r>
    </w:p>
    <w:p>
      <w:r>
        <w:t>Managers review staffing impact, overlap with already approved leave, and whether the request matches the correct leave type. Managers may not reclassify parental leave, sick leave, or accommodation-related absence as ordinary PTO to simplify scheduling.</w:t>
      </w:r>
    </w:p>
    <w:p>
      <w:r>
        <w:t>Approvals and denials must be recorded in the HRIS or case system. Verbal approval alone is not sufficient if payroll, timekeeping, or leave balance will be affected.</w:t>
      </w:r>
    </w:p>
    <w:p>
      <w:pPr>
        <w:pStyle w:val="Heading1"/>
      </w:pPr>
      <w:r>
        <w:t>Examples</w:t>
      </w:r>
    </w:p>
    <w:p>
      <w:r>
        <w:t>Two analysts request the same week off and only one can be absent for coverage reasons. The manager should use objective criteria such as request timing, business need, and previous scheduling fairness rather than personal preference.</w:t>
      </w:r>
    </w:p>
    <w:p>
      <w:r>
        <w:t>An employee absent for illness should not be asked to complete a vacation form after the fact just because the manager would have preferred more notice.</w:t>
      </w:r>
    </w:p>
    <w:p>
      <w:pPr>
        <w:pStyle w:val="Heading1"/>
      </w:pPr>
      <w:r>
        <w:t>Governance</w:t>
      </w:r>
    </w:p>
    <w:p>
      <w:r>
        <w:t>This document should be read together with HR-016, HR-017, HR-018, HR-019.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