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Travel and Business Expense Approval Rules</w:t>
      </w:r>
    </w:p>
    <w:p>
      <w:r>
        <w:t>HR-026  |  Category: Payroll  |  Version 2.2</w:t>
      </w:r>
    </w:p>
    <w:p>
      <w:r>
        <w:t>Policy owner: payroll@company.com  |  Related documents: HR-025, HR-049, HR-050</w:t>
      </w:r>
    </w:p>
    <w:p>
      <w:pPr>
        <w:pStyle w:val="Heading1"/>
      </w:pPr>
      <w:r>
        <w:t>Policy Summary</w:t>
      </w:r>
    </w:p>
    <w:p>
      <w:r>
        <w:t>This document explains the operating rules, documentation requirements, and approval steps for travel and business expense approval.</w:t>
      </w:r>
    </w:p>
    <w:p>
      <w:r>
        <w:t>Questions about this document should be sent to payroll@company.com.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Domestic hotel bookings should normally remain at or below USD 175 per night before taxes and fees, and international hotel bookings at or below USD 250 unless local market conditions or security needs justify an exception. Daily meal guidance is USD 55 domestic and USD 75 international unless local per-diem rules apply.</w:t>
      </w:r>
    </w:p>
    <w:p>
      <w:pPr>
        <w:pStyle w:val="Heading2"/>
      </w:pPr>
      <w:r>
        <w:t>Quick Reference</w:t>
      </w:r>
    </w:p>
    <w:p>
      <w:pPr>
        <w:pStyle w:val="ListBullet"/>
      </w:pPr>
      <w:r>
        <w:t>Questions: payroll@company.com</w:t>
      </w:r>
    </w:p>
    <w:p>
      <w:pPr>
        <w:pStyle w:val="ListBullet"/>
      </w:pPr>
      <w:r>
        <w:t>Regular payroll date: the last working day of each month</w:t>
      </w:r>
    </w:p>
    <w:p>
      <w:pPr>
        <w:pStyle w:val="ListBullet"/>
      </w:pPr>
      <w:r>
        <w:t>Off-cycle corrections are reserved for validated urgent issues.</w:t>
      </w:r>
    </w:p>
    <w:p>
      <w:pPr>
        <w:pStyle w:val="Heading1"/>
      </w:pPr>
      <w:r>
        <w:t>Travel and Business Expense Approval</w:t>
      </w:r>
    </w:p>
    <w:p>
      <w:r>
        <w:t>Air travel should be booked in economy class for flights under six hours. Premium economy or business class requires advance approval under the travel-approval matrix.</w:t>
      </w:r>
    </w:p>
    <w:p>
      <w:r>
        <w:t>Example: A same-day client trip may justify train travel even if it costs slightly more than a budget flight when it materially reduces total travel time.</w:t>
      </w:r>
    </w:p>
    <w:p>
      <w:pPr>
        <w:pStyle w:val="Heading1"/>
      </w:pPr>
      <w:r>
        <w:t>Governance</w:t>
      </w:r>
    </w:p>
    <w:p>
      <w:r>
        <w:t>This document should be read together with HR-025, HR-049, HR-050.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payroll@company.com.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