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Recruitment and Selection Standards</w:t>
      </w:r>
    </w:p>
    <w:p>
      <w:r>
        <w:t>HR-029  |  Category: Recruitment  |  Version 2.2</w:t>
      </w:r>
    </w:p>
    <w:p>
      <w:r>
        <w:t>Policy owner: recruitment@company.com  |  Related documents: HR-008, HR-030, HR-031, HR-032</w:t>
      </w:r>
    </w:p>
    <w:p>
      <w:pPr>
        <w:pStyle w:val="Heading1"/>
      </w:pPr>
      <w:r>
        <w:t>Policy Summary</w:t>
      </w:r>
    </w:p>
    <w:p>
      <w:r>
        <w:t>This document describes the standards employees, managers, and interviewers are expected to follow in relation to recruitment and selection.</w:t>
      </w:r>
    </w:p>
    <w:p>
      <w:r>
        <w:t>Questions about this document should be sent to recruitment@company.com.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Recruitment decisions must be tied to a documented job description, structured criteria, and timely communication with candidates. Hiring teams should use consistent interview stages for comparable roles and avoid ad hoc requirements added late in the process.</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Recruitment and Selection Standards</w:t>
      </w:r>
    </w:p>
    <w:p>
      <w:r>
        <w:t>Candidate experience matters operationally. Recruiters should keep hiring managers accountable for interview availability and feedback deadlines.</w:t>
      </w:r>
    </w:p>
    <w:p>
      <w:r>
        <w:t>Example: A role requiring client travel may lawfully assess ability to travel, but may not make assumptions based on family status or disability without the proper accommodation discussion.</w:t>
      </w:r>
    </w:p>
    <w:p>
      <w:pPr>
        <w:pStyle w:val="Heading1"/>
      </w:pPr>
      <w:r>
        <w:t>Governance</w:t>
      </w:r>
    </w:p>
    <w:p>
      <w:r>
        <w:t>This document should be read together with HR-008, HR-030, HR-031, HR-032.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