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Recognition, Awards, and Spot Bonus Guidelines</w:t>
      </w:r>
    </w:p>
    <w:p>
      <w:r>
        <w:t>HR-046  |  Category: Benefits  |  Version 2.2</w:t>
      </w:r>
    </w:p>
    <w:p>
      <w:r>
        <w:t>Policy owner: benefits@company.com  |  Related documents: HR-015, HR-028, HR-045</w:t>
      </w:r>
    </w:p>
    <w:p>
      <w:pPr>
        <w:pStyle w:val="Heading1"/>
      </w:pPr>
      <w:r>
        <w:t>Policy Summary</w:t>
      </w:r>
    </w:p>
    <w:p>
      <w:r>
        <w:t>This document explains the company's approach to recognition, awards, and spot bonus guidelines.</w:t>
      </w:r>
    </w:p>
    <w:p>
      <w:r>
        <w:t>Questions about this document should be sent to benefits@company.com. When a matter spans more than one process, the receiving team may coordinate with the relevant function named in the related documents.</w:t>
      </w:r>
    </w:p>
    <w:p>
      <w:r>
        <w:t>Local law, approved regional addenda, and individual contractual terms override this document where they provide greater protection or require a different process.</w:t>
      </w:r>
    </w:p>
    <w:p>
      <w:r>
        <w:t>Recognition programs should reward meaningful contribution while staying within budget and approval controls. Non-cash recognition may include public thanks, small awards, or development opportunities; cash spot bonuses require compensation approval and payroll treatment.</w:t>
      </w:r>
    </w:p>
    <w:p>
      <w:pPr>
        <w:pStyle w:val="Heading2"/>
      </w:pPr>
      <w:r>
        <w:t>Quick Reference</w:t>
      </w:r>
    </w:p>
    <w:p>
      <w:pPr>
        <w:pStyle w:val="ListBullet"/>
      </w:pPr>
      <w:r>
        <w:t>Questions: benefits@company.com</w:t>
      </w:r>
    </w:p>
    <w:p>
      <w:pPr>
        <w:pStyle w:val="ListBullet"/>
      </w:pPr>
      <w:r>
        <w:t>Base eligibility threshold: 30 hours per week</w:t>
      </w:r>
    </w:p>
    <w:p>
      <w:pPr>
        <w:pStyle w:val="ListBullet"/>
      </w:pPr>
      <w:r>
        <w:t>Life-event change window: 30 calendar days</w:t>
      </w:r>
    </w:p>
    <w:p>
      <w:pPr>
        <w:pStyle w:val="Heading1"/>
      </w:pPr>
      <w:r>
        <w:t>Recognition, Awards, and Spot Bonus</w:t>
      </w:r>
    </w:p>
    <w:p>
      <w:r>
        <w:t>Recognition should not replace fair base pay or structured compensation review. It is a supplement for notable contributions, not a workaround to pay-governance rules.</w:t>
      </w:r>
    </w:p>
    <w:p>
      <w:r>
        <w:t>Example: A team member who resolved a critical client incident may receive a spot bonus with documented business rationale and required approvals.</w:t>
      </w:r>
    </w:p>
    <w:p>
      <w:pPr>
        <w:pStyle w:val="Heading1"/>
      </w:pPr>
      <w:r>
        <w:t>Governance</w:t>
      </w:r>
    </w:p>
    <w:p>
      <w:r>
        <w:t>This document should be read together with HR-015, HR-028, HR-045.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local legal requirements or country-specific statutory entitlements.</w:t>
      </w:r>
    </w:p>
    <w:p>
      <w:pPr>
        <w:pStyle w:val="Heading1"/>
      </w:pPr>
      <w:r>
        <w:t>Illustrative FAQ</w:t>
      </w:r>
    </w:p>
    <w:p>
      <w:pPr>
        <w:pStyle w:val="ListBullet"/>
      </w:pPr>
      <w:r>
        <w:t>Who should I contact first? Start with benefits@company.com.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local law conflicts with this document? The stricter local legal requirement or country addendum controls. Employees and managers should follow the applicable regional policy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