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Offboarding and Exit Clearance Procedure</w:t>
      </w:r>
    </w:p>
    <w:p>
      <w:r>
        <w:t>HR-047  |  Category: Offboarding  |  Version 2.2</w:t>
      </w:r>
    </w:p>
    <w:p>
      <w:r>
        <w:t>Policy owner: peopleteam@company.com  |  Related documents: HR-012, HR-018, HR-039, HR-048</w:t>
      </w:r>
    </w:p>
    <w:p>
      <w:pPr>
        <w:pStyle w:val="Heading1"/>
      </w:pPr>
      <w:r>
        <w:t>Policy Summary</w:t>
      </w:r>
    </w:p>
    <w:p>
      <w:r>
        <w:t>This procedure explains how requests, approvals, documentation, and follow-up are handled for offboarding and exit clearance.</w:t>
      </w:r>
    </w:p>
    <w:p>
      <w:r>
        <w:t>Questions about this document should be sent to peopleteam@company.com. When a matter spans more than one process, the receiving team may coordinate with the relevant function named in the related documents.</w:t>
      </w:r>
    </w:p>
    <w:p>
      <w:r>
        <w:t>Local law, approved regional addenda, and individual contractual terms override this document where they provide greater protection or require a different process.</w:t>
      </w:r>
    </w:p>
    <w:p>
      <w:r>
        <w:t>Offboarding begins once a resignation, termination, end of assignment, or non-confirmation decision is recorded. HR coordinates payroll, IT, facilities, and the manager so that access, documents, and handover tasks are completed by the separation date or as close to it as practical.</w:t>
      </w:r>
    </w:p>
    <w:p>
      <w:pPr>
        <w:pStyle w:val="Heading2"/>
      </w:pPr>
      <w:r>
        <w:t>Quick Reference</w:t>
      </w:r>
    </w:p>
    <w:p>
      <w:pPr>
        <w:pStyle w:val="ListBullet"/>
      </w:pPr>
      <w:r>
        <w:t>Questions: peopleteam@company.com</w:t>
      </w:r>
    </w:p>
    <w:p>
      <w:pPr>
        <w:pStyle w:val="ListBullet"/>
      </w:pPr>
      <w:r>
        <w:t>Escalate sensitive matters on the same business day.</w:t>
      </w:r>
    </w:p>
    <w:p>
      <w:pPr>
        <w:pStyle w:val="ListBullet"/>
      </w:pPr>
      <w:r>
        <w:t>Document decisions that affect pay, access, leave, or employment status.</w:t>
      </w:r>
    </w:p>
    <w:p>
      <w:pPr>
        <w:pStyle w:val="Heading1"/>
      </w:pPr>
      <w:r>
        <w:t>Offboarding and Exit Clearance</w:t>
      </w:r>
    </w:p>
    <w:p>
      <w:r>
        <w:t>Employees should return company assets within 5 calendar days of separation unless local law or distance logistics require another arrangement.</w:t>
      </w:r>
    </w:p>
    <w:p>
      <w:r>
        <w:t>Example: A remote employee may ship equipment back using a prepaid label provided by the company rather than returning it in person.</w:t>
      </w:r>
    </w:p>
    <w:p>
      <w:pPr>
        <w:pStyle w:val="Heading1"/>
      </w:pPr>
      <w:r>
        <w:t>Governance</w:t>
      </w:r>
    </w:p>
    <w:p>
      <w:r>
        <w:t>This document should be read together with HR-012, HR-018, HR-039, HR-048. Where a process touches payroll, leave, performance, or data privacy, the specialized document governs the detailed step-by-step rules and this document supplies the policy intent.</w:t>
      </w:r>
    </w:p>
    <w:p>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r>
        <w:t>Examples in this document are illustrative and are included to clarify how the policy is applied in common workplace situations. They do not replace local legal requirements or country-specific statutory entitlements.</w:t>
      </w:r>
    </w:p>
    <w:p>
      <w:pPr>
        <w:pStyle w:val="Heading1"/>
      </w:pPr>
      <w:r>
        <w:t>Illustrative FAQ</w:t>
      </w:r>
    </w:p>
    <w:p>
      <w:pPr>
        <w:pStyle w:val="ListBullet"/>
      </w:pPr>
      <w:r>
        <w:t>Who should I contact first? Start with peopleteam@company.com. If the issue belongs to another team, the receiving team will redirect it or ask the right function to join.</w:t>
      </w:r>
    </w:p>
    <w:p>
      <w:pPr>
        <w:pStyle w:val="ListBullet"/>
      </w:pPr>
      <w:r>
        <w:t>Can a manager override the policy verbally? No. Managers may explain context and recommend an exception, but decisions that affect pay, statutory rights, benefits, privacy, or discipline must follow the documented process.</w:t>
      </w:r>
    </w:p>
    <w:p>
      <w:pPr>
        <w:pStyle w:val="ListBullet"/>
      </w:pPr>
      <w:r>
        <w:t>What happens when local law conflicts with this document? The stricter local legal requirement or country addendum controls. Employees and managers should follow the applicable regional policy where it grants greater protection or sets a different process.</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