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Professional Communication Standards</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PK-HR-002</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professional communication standards. It should be applied consistently across Pakistan operations unless a written exception is approved through the Policy Exception, Approval, and Governance Framework. Related references include PK-HR-001, PK-HR-003, PK-HR-039, PK-HR-049.</w:t>
      </w:r>
    </w:p>
    <w:p>
      <w:pPr>
        <w:spacing w:before="120" w:after="40"/>
      </w:pPr>
      <w:r>
        <w:rPr>
          <w:b/>
          <w:color w:val="2C2C2C"/>
          <w:sz w:val="24"/>
        </w:rPr>
        <w:t>Standards</w:t>
      </w:r>
    </w:p>
    <w:p>
      <w:pPr>
        <w:spacing w:after="80" w:line="264" w:lineRule="auto"/>
      </w:pPr>
      <w:r>
        <w:t>Professional communication means information is clear, respectful, timely, and appropriate for the audience. Pakistan teams often work across cities, functions, and time zones, so message quality matters as much as message speed. Employees are expected to write and speak in a way that reduces confusion and avoids unnecessary escalation.</w:t>
      </w:r>
    </w:p>
    <w:p>
      <w:pPr>
        <w:spacing w:after="80" w:line="264" w:lineRule="auto"/>
      </w:pPr>
      <w:r>
        <w:t>Where a message includes decisions, commitments, dates, or approvals, the sender should summarize the point directly. Long threads without a clear ask create delay and can lead to avoidable mistakes in payroll, leave, hiring, or onboarding activities.</w:t>
      </w:r>
    </w:p>
    <w:p>
      <w:pPr>
        <w:pStyle w:val="ListBullet"/>
        <w:spacing w:after="20"/>
      </w:pPr>
      <w:r>
        <w:t>Use descriptive subject lines and identify required action, owner, and deadline in the first part of the message.</w:t>
      </w:r>
    </w:p>
    <w:p>
      <w:pPr>
        <w:pStyle w:val="ListBullet"/>
        <w:spacing w:after="20"/>
      </w:pPr>
      <w:r>
        <w:t>Avoid using all caps, threatening language, repeated pings, or copying large groups to create pressure without business need.</w:t>
      </w:r>
    </w:p>
    <w:p>
      <w:pPr>
        <w:pStyle w:val="ListBullet"/>
        <w:spacing w:after="20"/>
      </w:pPr>
      <w:r>
        <w:t>Team chats are not a substitute for formal approvals when policy requires manager, payroll, benefits, compliance, recruitment, or onboarding confirmation.</w:t>
      </w:r>
    </w:p>
    <w:p>
      <w:pPr>
        <w:pStyle w:val="ListBullet"/>
        <w:spacing w:after="20"/>
      </w:pPr>
      <w:r>
        <w:t>Meeting notes should record decisions, follow-up items, and who is responsible. Sensitive people matters should not be discussed in open channels.</w:t>
      </w:r>
    </w:p>
    <w:p>
      <w:pPr>
        <w:pStyle w:val="ListBullet"/>
        <w:spacing w:after="20"/>
      </w:pPr>
      <w:r>
        <w:t>Employees should reply within a reasonable period based on urgency. Urgent operational issues should be clearly labeled as urgent rather than buried in a general thread.</w:t>
      </w:r>
    </w:p>
    <w:p>
      <w:pPr>
        <w:spacing w:before="120" w:after="40"/>
      </w:pPr>
      <w:r>
        <w:rPr>
          <w:b/>
          <w:color w:val="2C2C2C"/>
          <w:sz w:val="24"/>
        </w:rPr>
        <w:t>Examples and practical guidance</w:t>
      </w:r>
    </w:p>
    <w:p>
      <w:pPr>
        <w:spacing w:after="80" w:line="264" w:lineRule="auto"/>
      </w:pPr>
      <w:r>
        <w:t>Example: A reimbursement request should include the business purpose, date, receipt, amount in PKR or original currency, and any prior approval reference. Sending only a screenshot with “please check” is not sufficient.</w:t>
      </w:r>
    </w:p>
    <w:p>
      <w:pPr>
        <w:spacing w:after="80" w:line="264" w:lineRule="auto"/>
      </w:pPr>
      <w:r>
        <w:t>Questions about people policy should go to the relevant inbox listed in the contact guide instead of being circulated informally for interpretation. This reduces conflicting guidance and keeps a clear record.</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PK-HR-002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