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Non-Retaliation and Protected Reporting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PK-HR-004</w:t>
            </w:r>
          </w:p>
        </w:tc>
        <w:tc>
          <w:tcPr>
            <w:tcW w:type="dxa" w:w="2376"/>
          </w:tcPr>
          <w:p>
            <w:r>
              <w:rPr>
                <w:rFonts w:ascii="Arial" w:hAnsi="Arial"/>
                <w:sz w:val="18"/>
              </w:rPr>
              <w:t>Pakistan</w:t>
            </w:r>
          </w:p>
        </w:tc>
        <w:tc>
          <w:tcPr>
            <w:tcW w:type="dxa" w:w="2376"/>
          </w:tcPr>
          <w:p>
            <w:r>
              <w:rPr>
                <w:rFonts w:ascii="Arial" w:hAnsi="Arial"/>
                <w:sz w:val="18"/>
              </w:rPr>
              <w:t>Compliance</w:t>
            </w:r>
          </w:p>
        </w:tc>
        <w:tc>
          <w:tcPr>
            <w:tcW w:type="dxa" w:w="2736"/>
          </w:tcPr>
          <w:p>
            <w:r>
              <w:rPr>
                <w:rFonts w:ascii="Arial" w:hAnsi="Arial"/>
                <w:sz w:val="18"/>
              </w:rPr>
              <w:t>compliance@company.com</w:t>
            </w:r>
          </w:p>
        </w:tc>
      </w:tr>
    </w:tbl>
    <w:p/>
    <w:p>
      <w:pPr>
        <w:spacing w:before="120" w:after="40"/>
      </w:pPr>
      <w:r>
        <w:rPr>
          <w:b/>
          <w:color w:val="2C2C2C"/>
          <w:sz w:val="24"/>
        </w:rPr>
        <w:t>Policy summary</w:t>
      </w:r>
    </w:p>
    <w:p>
      <w:pPr>
        <w:spacing w:after="80" w:line="264" w:lineRule="auto"/>
      </w:pPr>
      <w:r>
        <w:t>This document sets the Pakistan standard for non-retaliation and protected reporting policy. It should be applied consistently across Pakistan operations unless a written exception is approved through the Policy Exception, Approval, and Governance Framework. Related references include PK-HR-003, PK-HR-005, PK-HR-007, PK-HR-050.</w:t>
      </w:r>
    </w:p>
    <w:p>
      <w:pPr>
        <w:spacing w:before="120" w:after="40"/>
      </w:pPr>
      <w:r>
        <w:rPr>
          <w:b/>
          <w:color w:val="2C2C2C"/>
          <w:sz w:val="24"/>
        </w:rPr>
        <w:t>Protected reporting</w:t>
      </w:r>
    </w:p>
    <w:p>
      <w:pPr>
        <w:spacing w:after="80" w:line="264" w:lineRule="auto"/>
      </w:pPr>
      <w:r>
        <w:t>Employees may report suspected misconduct, policy breaches, fraud, retaliation, harassment, discrimination, record falsification, bribery concerns, security weaknesses, or other compliance matters in good faith without fear of retaliation. Good faith means the person honestly believes the concern may be valid, even if an investigation later finds no violation.</w:t>
      </w:r>
    </w:p>
    <w:p>
      <w:pPr>
        <w:spacing w:after="80" w:line="264" w:lineRule="auto"/>
      </w:pPr>
      <w:r>
        <w:t>Retaliation includes dismissal, unfair rating changes, exclusion from necessary meetings, hostile treatment, denial of approved benefits, withholding of routine approvals, or pressure to withdraw a complaint.</w:t>
      </w:r>
    </w:p>
    <w:p>
      <w:pPr>
        <w:pStyle w:val="ListBullet"/>
        <w:spacing w:after="20"/>
      </w:pPr>
      <w:r>
        <w:t>Concerns may be raised to compliance@company.com, peopleteam@company.com, or through a manager where appropriate.</w:t>
      </w:r>
    </w:p>
    <w:p>
      <w:pPr>
        <w:pStyle w:val="ListBullet"/>
        <w:spacing w:after="20"/>
      </w:pPr>
      <w:r>
        <w:t>Receipt should normally be acknowledged within 2 business days, with updates provided as the review progresses when feasible and lawful.</w:t>
      </w:r>
    </w:p>
    <w:p>
      <w:pPr>
        <w:pStyle w:val="ListBullet"/>
        <w:spacing w:after="20"/>
      </w:pPr>
      <w:r>
        <w:t>Confidentiality will be protected as far as practical, but some disclosure may be necessary to investigate and respond properly.</w:t>
      </w:r>
    </w:p>
    <w:p>
      <w:pPr>
        <w:pStyle w:val="ListBullet"/>
        <w:spacing w:after="20"/>
      </w:pPr>
      <w:r>
        <w:t>Knowingly false or malicious accusations are not protected and may lead to corrective action.</w:t>
      </w:r>
    </w:p>
    <w:p>
      <w:pPr>
        <w:spacing w:before="120" w:after="40"/>
      </w:pPr>
      <w:r>
        <w:rPr>
          <w:b/>
          <w:color w:val="2C2C2C"/>
          <w:sz w:val="24"/>
        </w:rPr>
        <w:t>Examples and practical guidance</w:t>
      </w:r>
    </w:p>
    <w:p>
      <w:pPr>
        <w:spacing w:after="80" w:line="264" w:lineRule="auto"/>
      </w:pPr>
      <w:r>
        <w:t>Example: An employee reports suspected expense fraud by a senior manager. The reporter must not be penalized in assignments, attendance reviews, or promotion discussions because they raised the concern.</w:t>
      </w:r>
    </w:p>
    <w:p>
      <w:pPr>
        <w:spacing w:after="80" w:line="264" w:lineRule="auto"/>
      </w:pPr>
      <w:r>
        <w:t>Example: A manager cannot instruct team members to isolate or ignore a colleague who spoke to Compliance.</w:t>
      </w:r>
    </w:p>
    <w:p>
      <w:pPr>
        <w:spacing w:before="120" w:after="40"/>
      </w:pPr>
      <w:r>
        <w:rPr>
          <w:b/>
          <w:color w:val="2C2C2C"/>
          <w:sz w:val="24"/>
        </w:rPr>
        <w:t>Questions and ownership</w:t>
      </w:r>
    </w:p>
    <w:p>
      <w:pPr>
        <w:spacing w:after="80" w:line="264" w:lineRule="auto"/>
      </w:pPr>
      <w:r>
        <w:t>Employees and managers should route questions about this policy to compliance@company.com.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PK-HR-004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