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Conflict of Interest Disclosure Policy</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PK-HR-006</w:t>
            </w:r>
          </w:p>
        </w:tc>
        <w:tc>
          <w:tcPr>
            <w:tcW w:type="dxa" w:w="2376"/>
          </w:tcPr>
          <w:p>
            <w:r>
              <w:rPr>
                <w:rFonts w:ascii="Arial" w:hAnsi="Arial"/>
                <w:sz w:val="18"/>
              </w:rPr>
              <w:t>Pakistan</w:t>
            </w:r>
          </w:p>
        </w:tc>
        <w:tc>
          <w:tcPr>
            <w:tcW w:type="dxa" w:w="2376"/>
          </w:tcPr>
          <w:p>
            <w:r>
              <w:rPr>
                <w:rFonts w:ascii="Arial" w:hAnsi="Arial"/>
                <w:sz w:val="18"/>
              </w:rPr>
              <w:t>Compliance</w:t>
            </w:r>
          </w:p>
        </w:tc>
        <w:tc>
          <w:tcPr>
            <w:tcW w:type="dxa" w:w="2736"/>
          </w:tcPr>
          <w:p>
            <w:r>
              <w:rPr>
                <w:rFonts w:ascii="Arial" w:hAnsi="Arial"/>
                <w:sz w:val="18"/>
              </w:rPr>
              <w:t>compliance@company.com</w:t>
            </w:r>
          </w:p>
        </w:tc>
      </w:tr>
    </w:tbl>
    <w:p/>
    <w:p>
      <w:pPr>
        <w:spacing w:before="120" w:after="40"/>
      </w:pPr>
      <w:r>
        <w:rPr>
          <w:b/>
          <w:color w:val="2C2C2C"/>
          <w:sz w:val="24"/>
        </w:rPr>
        <w:t>Policy summary</w:t>
      </w:r>
    </w:p>
    <w:p>
      <w:pPr>
        <w:spacing w:after="80" w:line="264" w:lineRule="auto"/>
      </w:pPr>
      <w:r>
        <w:t>This document sets the Pakistan standard for conflict of interest disclosure policy. It should be applied consistently across Pakistan operations unless a written exception is approved through the Policy Exception, Approval, and Governance Framework. Related references include PK-HR-007, PK-HR-028, PK-HR-050.</w:t>
      </w:r>
    </w:p>
    <w:p>
      <w:pPr>
        <w:spacing w:before="120" w:after="40"/>
      </w:pPr>
      <w:r>
        <w:rPr>
          <w:b/>
          <w:color w:val="2C2C2C"/>
          <w:sz w:val="24"/>
        </w:rPr>
        <w:t>Disclosure rules</w:t>
      </w:r>
    </w:p>
    <w:p>
      <w:pPr>
        <w:spacing w:after="80" w:line="264" w:lineRule="auto"/>
      </w:pPr>
      <w:r>
        <w:t>Employees must avoid situations in which personal interests could influence, or appear to influence, company decisions. A conflict of interest can arise through outside employment, family relationships, ownership interests, gifts, entertainment, or side businesses that overlap with company clients, vendors, competitors, or internal decision-making.</w:t>
      </w:r>
    </w:p>
    <w:p>
      <w:pPr>
        <w:spacing w:after="80" w:line="264" w:lineRule="auto"/>
      </w:pPr>
      <w:r>
        <w:t>The purpose of disclosure is not to punish normal personal or family relationships. It is to allow the company to assess risk, set guardrails, and protect the fairness of commercial and people decisions.</w:t>
      </w:r>
    </w:p>
    <w:p>
      <w:pPr>
        <w:pStyle w:val="ListBullet"/>
        <w:spacing w:after="20"/>
      </w:pPr>
      <w:r>
        <w:t>Employees involved in vendor selection, hiring, promotions, compensation recommendations, or expense approvals must disclose if they have a close personal relationship or financial interest connected to the matter.</w:t>
      </w:r>
    </w:p>
    <w:p>
      <w:pPr>
        <w:pStyle w:val="ListBullet"/>
        <w:spacing w:after="20"/>
      </w:pPr>
      <w:r>
        <w:t>Gifts or hospitality with a value above PKR 10,000 must be disclosed to compliance@company.com and generally should not be accepted unless written approval is granted.</w:t>
      </w:r>
    </w:p>
    <w:p>
      <w:pPr>
        <w:pStyle w:val="ListBullet"/>
        <w:spacing w:after="20"/>
      </w:pPr>
      <w:r>
        <w:t>Outside work must not use company time, systems, or confidential information and must not impair attendance or performance.</w:t>
      </w:r>
    </w:p>
    <w:p>
      <w:pPr>
        <w:pStyle w:val="ListBullet"/>
        <w:spacing w:after="20"/>
      </w:pPr>
      <w:r>
        <w:t>Managers must not supervise or directly approve leave, claims, ratings, or pay actions for close relatives or intimate partners without an approved control arrangement.</w:t>
      </w:r>
    </w:p>
    <w:p>
      <w:pPr>
        <w:spacing w:before="120" w:after="40"/>
      </w:pPr>
      <w:r>
        <w:rPr>
          <w:b/>
          <w:color w:val="2C2C2C"/>
          <w:sz w:val="24"/>
        </w:rPr>
        <w:t>Examples and practical guidance</w:t>
      </w:r>
    </w:p>
    <w:p>
      <w:pPr>
        <w:spacing w:after="80" w:line="264" w:lineRule="auto"/>
      </w:pPr>
      <w:r>
        <w:t>Example: A recruiter realizes that a candidate is a first cousin of a hiring manager. The relationship must be disclosed so interview panel and approval controls can be adjusted.</w:t>
      </w:r>
    </w:p>
    <w:p>
      <w:pPr>
        <w:spacing w:after="80" w:line="264" w:lineRule="auto"/>
      </w:pPr>
      <w:r>
        <w:t>Example: An employee operating a private training business must not market that business to company learners without prior approval.</w:t>
      </w:r>
    </w:p>
    <w:p>
      <w:pPr>
        <w:spacing w:before="120" w:after="40"/>
      </w:pPr>
      <w:r>
        <w:rPr>
          <w:b/>
          <w:color w:val="2C2C2C"/>
          <w:sz w:val="24"/>
        </w:rPr>
        <w:t>Questions and ownership</w:t>
      </w:r>
    </w:p>
    <w:p>
      <w:pPr>
        <w:spacing w:after="80" w:line="264" w:lineRule="auto"/>
      </w:pPr>
      <w:r>
        <w:t>Employees and managers should route questions about this policy to compliance@company.com.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PK-HR-006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