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Accessibility and Workplace Accommodation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PK-HR-010</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accessibility and workplace accommodation policy. It should be applied consistently across Pakistan operations unless a written exception is approved through the Policy Exception, Approval, and Governance Framework. Related references include PK-HR-008, PK-HR-017, PK-HR-021, PK-HR-041.</w:t>
      </w:r>
    </w:p>
    <w:p>
      <w:pPr>
        <w:spacing w:before="120" w:after="40"/>
      </w:pPr>
      <w:r>
        <w:rPr>
          <w:b/>
          <w:color w:val="2C2C2C"/>
          <w:sz w:val="24"/>
        </w:rPr>
        <w:t>Accommodation approach</w:t>
      </w:r>
    </w:p>
    <w:p>
      <w:pPr>
        <w:spacing w:after="80" w:line="264" w:lineRule="auto"/>
      </w:pPr>
      <w:r>
        <w:t>The company will consider reasonable workplace accommodations that enable employees and candidates to participate effectively in work or hiring. Accommodation requests may relate to disability, temporary medical limitations, ergonomic needs, assistive devices, schedule adjustments, accessibility of interview methods, or other circumstances requiring practical support.</w:t>
      </w:r>
    </w:p>
    <w:p>
      <w:pPr>
        <w:spacing w:after="80" w:line="264" w:lineRule="auto"/>
      </w:pPr>
      <w:r>
        <w:t>Pakistan operations also recognize that accessibility needs can arise from building access, transport limitations, visual or hearing support requirements, or short-term medical recovery after illness or surgery.</w:t>
      </w:r>
    </w:p>
    <w:p>
      <w:pPr>
        <w:pStyle w:val="ListBullet"/>
        <w:spacing w:after="20"/>
      </w:pPr>
      <w:r>
        <w:t>Requests should be sent to peopleteam@company.com. Where relevant, the company may ask for limited supporting information that is sufficient to understand the need and assess a practical response.</w:t>
      </w:r>
    </w:p>
    <w:p>
      <w:pPr>
        <w:pStyle w:val="ListBullet"/>
        <w:spacing w:after="20"/>
      </w:pPr>
      <w:r>
        <w:t>The review will focus on what adjustment is effective, reasonable, and compatible with role requirements and confidentiality obligations.</w:t>
      </w:r>
    </w:p>
    <w:p>
      <w:pPr>
        <w:pStyle w:val="ListBullet"/>
        <w:spacing w:after="20"/>
      </w:pPr>
      <w:r>
        <w:t>Examples include ergonomic chairs, screen readers, adjusted seating, modified break timing, temporary remote work, captioning support, or alternate interview formats.</w:t>
      </w:r>
    </w:p>
    <w:p>
      <w:pPr>
        <w:pStyle w:val="ListBullet"/>
        <w:spacing w:after="20"/>
      </w:pPr>
      <w:r>
        <w:t>Managers must not make informal promises that conflict with safety, payroll, or information-security requirements; all accommodations should be documented.</w:t>
      </w:r>
    </w:p>
    <w:p>
      <w:pPr>
        <w:spacing w:before="120" w:after="40"/>
      </w:pPr>
      <w:r>
        <w:rPr>
          <w:b/>
          <w:color w:val="2C2C2C"/>
          <w:sz w:val="24"/>
        </w:rPr>
        <w:t>Examples and practical guidance</w:t>
      </w:r>
    </w:p>
    <w:p>
      <w:pPr>
        <w:spacing w:after="80" w:line="264" w:lineRule="auto"/>
      </w:pPr>
      <w:r>
        <w:t>The company may decline a requested arrangement if there is no medical or business basis, if it creates an undue hardship, or if a more suitable alternative is available. In such cases, the reasoning should be explained clearly.</w:t>
      </w:r>
    </w:p>
    <w:p>
      <w:pPr>
        <w:spacing w:after="80" w:line="264" w:lineRule="auto"/>
      </w:pPr>
      <w:r>
        <w:t>Employees should report changes in circumstances promptly so an accommodation can be updated instead of silently becoming unworkable.</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PK-HR-010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