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b/>
          <w:color w:val="1C3F72"/>
          <w:sz w:val="36"/>
        </w:rPr>
        <w:t>Benefits Eligibility Overview</w:t>
      </w:r>
    </w:p>
    <w:p>
      <w:pPr>
        <w:jc w:val="left"/>
      </w:pPr>
      <w:r>
        <w:rPr>
          <w:i/>
          <w:color w:val="606060"/>
          <w:sz w:val="21"/>
        </w:rPr>
        <w:t>Pakistan Employee Policy</w:t>
      </w:r>
    </w:p>
    <w:tbl>
      <w:tblPr>
        <w:tblStyle w:val="TableGrid"/>
        <w:tblW w:type="auto" w:w="0"/>
        <w:tblLayout w:type="fixed"/>
        <w:tblLook w:firstColumn="1" w:firstRow="1" w:lastColumn="0" w:lastRow="0" w:noHBand="0" w:noVBand="1" w:val="04A0"/>
      </w:tblPr>
      <w:tblGrid>
        <w:gridCol w:w="2484"/>
        <w:gridCol w:w="2484"/>
        <w:gridCol w:w="2484"/>
        <w:gridCol w:w="2484"/>
      </w:tblGrid>
      <w:tr>
        <w:tc>
          <w:tcPr>
            <w:tcW w:type="dxa" w:w="2376"/>
            <w:shd w:fill="D9E6F2"/>
          </w:tcPr>
          <w:p>
            <w:r>
              <w:rPr>
                <w:rFonts w:ascii="Arial" w:hAnsi="Arial"/>
                <w:b/>
                <w:sz w:val="18"/>
              </w:rPr>
              <w:t>Document ID</w:t>
            </w:r>
          </w:p>
        </w:tc>
        <w:tc>
          <w:tcPr>
            <w:tcW w:type="dxa" w:w="2376"/>
            <w:shd w:fill="D9E6F2"/>
          </w:tcPr>
          <w:p>
            <w:r>
              <w:rPr>
                <w:rFonts w:ascii="Arial" w:hAnsi="Arial"/>
                <w:b/>
                <w:sz w:val="18"/>
              </w:rPr>
              <w:t>Country</w:t>
            </w:r>
          </w:p>
        </w:tc>
        <w:tc>
          <w:tcPr>
            <w:tcW w:type="dxa" w:w="2376"/>
            <w:shd w:fill="D9E6F2"/>
          </w:tcPr>
          <w:p>
            <w:r>
              <w:rPr>
                <w:rFonts w:ascii="Arial" w:hAnsi="Arial"/>
                <w:b/>
                <w:sz w:val="18"/>
              </w:rPr>
              <w:t>Owning Team</w:t>
            </w:r>
          </w:p>
        </w:tc>
        <w:tc>
          <w:tcPr>
            <w:tcW w:type="dxa" w:w="2736"/>
            <w:shd w:fill="D9E6F2"/>
          </w:tcPr>
          <w:p>
            <w:r>
              <w:rPr>
                <w:rFonts w:ascii="Arial" w:hAnsi="Arial"/>
                <w:b/>
                <w:sz w:val="18"/>
              </w:rPr>
              <w:t>Primary Contact</w:t>
            </w:r>
          </w:p>
        </w:tc>
      </w:tr>
      <w:tr>
        <w:tc>
          <w:tcPr>
            <w:tcW w:type="dxa" w:w="2376"/>
          </w:tcPr>
          <w:p>
            <w:r>
              <w:rPr>
                <w:rFonts w:ascii="Arial" w:hAnsi="Arial"/>
                <w:sz w:val="18"/>
              </w:rPr>
              <w:t>PK-HR-011</w:t>
            </w:r>
          </w:p>
        </w:tc>
        <w:tc>
          <w:tcPr>
            <w:tcW w:type="dxa" w:w="2376"/>
          </w:tcPr>
          <w:p>
            <w:r>
              <w:rPr>
                <w:rFonts w:ascii="Arial" w:hAnsi="Arial"/>
                <w:sz w:val="18"/>
              </w:rPr>
              <w:t>Pakistan</w:t>
            </w:r>
          </w:p>
        </w:tc>
        <w:tc>
          <w:tcPr>
            <w:tcW w:type="dxa" w:w="2376"/>
          </w:tcPr>
          <w:p>
            <w:r>
              <w:rPr>
                <w:rFonts w:ascii="Arial" w:hAnsi="Arial"/>
                <w:sz w:val="18"/>
              </w:rPr>
              <w:t>Benefits</w:t>
            </w:r>
          </w:p>
        </w:tc>
        <w:tc>
          <w:tcPr>
            <w:tcW w:type="dxa" w:w="2736"/>
          </w:tcPr>
          <w:p>
            <w:r>
              <w:rPr>
                <w:rFonts w:ascii="Arial" w:hAnsi="Arial"/>
                <w:sz w:val="18"/>
              </w:rPr>
              <w:t>benefits@company.com</w:t>
            </w:r>
          </w:p>
        </w:tc>
      </w:tr>
    </w:tbl>
    <w:p/>
    <w:p>
      <w:pPr>
        <w:spacing w:before="120" w:after="40"/>
      </w:pPr>
      <w:r>
        <w:rPr>
          <w:b/>
          <w:color w:val="2C2C2C"/>
          <w:sz w:val="24"/>
        </w:rPr>
        <w:t>Policy summary</w:t>
      </w:r>
    </w:p>
    <w:p>
      <w:pPr>
        <w:spacing w:after="80" w:line="264" w:lineRule="auto"/>
      </w:pPr>
      <w:r>
        <w:t>This document sets the Pakistan standard for benefits eligibility overview. It should be applied consistently across Pakistan operations unless a written exception is approved through the Policy Exception, Approval, and Governance Framework. Related references include PK-HR-012, PK-HR-013, PK-HR-014, PK-HR-015.</w:t>
      </w:r>
    </w:p>
    <w:p>
      <w:pPr>
        <w:spacing w:before="120" w:after="40"/>
      </w:pPr>
      <w:r>
        <w:rPr>
          <w:b/>
          <w:color w:val="2C2C2C"/>
          <w:sz w:val="24"/>
        </w:rPr>
        <w:t>Eligibility overview</w:t>
      </w:r>
    </w:p>
    <w:p>
      <w:pPr>
        <w:spacing w:after="80" w:line="264" w:lineRule="auto"/>
      </w:pPr>
      <w:r>
        <w:t>This document summarizes who is generally eligible for company-sponsored benefits in Pakistan. It is not a contract of insurance and does not replace plan documents, carrier rules, or vendor terms. Where there is a difference between a summary and a formal plan schedule, the formal schedule governs.</w:t>
      </w:r>
    </w:p>
    <w:p>
      <w:pPr>
        <w:spacing w:after="80" w:line="264" w:lineRule="auto"/>
      </w:pPr>
      <w:r>
        <w:t>Benefits are structured to support employees during routine employment events such as joining, illness, hospitalization, family changes, learning, and separation. Some programs are available from joining, while others start after confirmation or after a minimum service period.</w:t>
      </w:r>
    </w:p>
    <w:p>
      <w:pPr>
        <w:pStyle w:val="ListBullet"/>
        <w:spacing w:after="20"/>
      </w:pPr>
      <w:r>
        <w:t>Regular full-time employees are the primary group covered for core benefits unless the relevant plan document states otherwise.</w:t>
      </w:r>
    </w:p>
    <w:p>
      <w:pPr>
        <w:pStyle w:val="ListBullet"/>
        <w:spacing w:after="20"/>
      </w:pPr>
      <w:r>
        <w:t>Dependent coverage, if offered, is subject to enrollment windows and may require documentation such as marriage certificate, B-form, or other family relationship records required by the insurer or plan administrator.</w:t>
      </w:r>
    </w:p>
    <w:p>
      <w:pPr>
        <w:pStyle w:val="ListBullet"/>
        <w:spacing w:after="20"/>
      </w:pPr>
      <w:r>
        <w:t>Company-provided medical coverage usually begins according to the benefit schedule shared at joining; provident-fund style savings arrangements may begin after confirmation.</w:t>
      </w:r>
    </w:p>
    <w:p>
      <w:pPr>
        <w:pStyle w:val="ListBullet"/>
        <w:spacing w:after="20"/>
      </w:pPr>
      <w:r>
        <w:t>Contractors, agency workers, interns, and consultants are generally not covered unless the contract or local business arrangement expressly provides it.</w:t>
      </w:r>
    </w:p>
    <w:p>
      <w:pPr>
        <w:spacing w:before="120" w:after="40"/>
      </w:pPr>
      <w:r>
        <w:rPr>
          <w:b/>
          <w:color w:val="2C2C2C"/>
          <w:sz w:val="24"/>
        </w:rPr>
        <w:t>Examples and practical guidance</w:t>
      </w:r>
    </w:p>
    <w:p>
      <w:pPr>
        <w:spacing w:after="80" w:line="264" w:lineRule="auto"/>
      </w:pPr>
      <w:r>
        <w:t>Questions about coverage start dates, dependents, or plan tiers should be sent to benefits@company.com. Life-event changes must normally be reported within 30 calendar days of the qualifying event.</w:t>
      </w:r>
    </w:p>
    <w:p>
      <w:pPr>
        <w:spacing w:after="80" w:line="264" w:lineRule="auto"/>
      </w:pPr>
      <w:r>
        <w:t>Employees should review the current year benefit summary because insurer networks, reimbursement rules, and premium-sharing arrangements can change at renewal.</w:t>
      </w:r>
    </w:p>
    <w:p>
      <w:pPr>
        <w:spacing w:before="120" w:after="40"/>
      </w:pPr>
      <w:r>
        <w:rPr>
          <w:b/>
          <w:color w:val="2C2C2C"/>
          <w:sz w:val="24"/>
        </w:rPr>
        <w:t>Questions and ownership</w:t>
      </w:r>
    </w:p>
    <w:p>
      <w:pPr>
        <w:spacing w:after="80" w:line="264" w:lineRule="auto"/>
      </w:pPr>
      <w:r>
        <w:t>Employees and managers should route questions about this policy to benefits@company.com. Where an issue also involves payroll, benefits, recruitment, onboarding, compliance, talent development, or IT access, the receiving team may coordinate with the relevant function before confirming the final response.</w:t>
      </w:r>
    </w:p>
    <w:p>
      <w:pPr>
        <w:spacing w:after="80" w:line="264" w:lineRule="auto"/>
      </w:pPr>
      <w:r>
        <w:t>This policy may be updated from time to time to reflect business requirements, vendor changes, process improvements, or applicable legal considerations. Employees are expected to follow the latest approved version circulated by the company.</w:t>
      </w:r>
    </w:p>
    <w:sectPr w:rsidR="00FC693F" w:rsidRPr="0006063C" w:rsidSect="00034616">
      <w:footerReference w:type="default" r:id="rId9"/>
      <w:pgSz w:w="12240" w:h="15840"/>
      <w:pgMar w:top="1008"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t>PK-HR-011 | Pakistan</w:t>
    </w:r>
  </w:p>
  <w:p>
    <w:pPr>
      <w:jc w:val="right"/>
    </w:pPr>
    <w: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