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Mental Health and Wellness Support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PK-HR-014</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mental health and wellness support policy. It should be applied consistently across Pakistan operations unless a written exception is approved through the Policy Exception, Approval, and Governance Framework. Related references include PK-HR-011, PK-HR-017, PK-HR-018, PK-HR-045.</w:t>
      </w:r>
    </w:p>
    <w:p>
      <w:pPr>
        <w:spacing w:before="120" w:after="40"/>
      </w:pPr>
      <w:r>
        <w:rPr>
          <w:b/>
          <w:color w:val="2C2C2C"/>
          <w:sz w:val="24"/>
        </w:rPr>
        <w:t>Support available</w:t>
      </w:r>
    </w:p>
    <w:p>
      <w:pPr>
        <w:spacing w:after="80" w:line="264" w:lineRule="auto"/>
      </w:pPr>
      <w:r>
        <w:t>Mental health and emotional wellbeing are business and people priorities. The company encourages employees to seek support early rather than waiting for stress, burnout, anxiety, or family pressure to affect performance, attendance, or safety. Using support options will not by itself harm employment status or advancement.</w:t>
      </w:r>
    </w:p>
    <w:p>
      <w:pPr>
        <w:spacing w:after="80" w:line="264" w:lineRule="auto"/>
      </w:pPr>
      <w:r>
        <w:t>Depending on the annual benefit design, support may include counseling sessions, an employee assistance helpline, wellness workshops, manager guidance, or referral support through the medical plan.</w:t>
      </w:r>
    </w:p>
    <w:p>
      <w:pPr>
        <w:pStyle w:val="ListBullet"/>
        <w:spacing w:after="20"/>
      </w:pPr>
      <w:r>
        <w:t>Employees may contact benefits@company.com confidentially to understand available support pathways.</w:t>
      </w:r>
    </w:p>
    <w:p>
      <w:pPr>
        <w:pStyle w:val="ListBullet"/>
        <w:spacing w:after="20"/>
      </w:pPr>
      <w:r>
        <w:t>Managers should respond sensitively when an employee discloses distress and should focus on support, workload planning, and referral to the proper channel rather than making amateur diagnoses.</w:t>
      </w:r>
    </w:p>
    <w:p>
      <w:pPr>
        <w:pStyle w:val="ListBullet"/>
        <w:spacing w:after="20"/>
      </w:pPr>
      <w:r>
        <w:t>Mental-health-related leave or temporary adjustments will be handled through the same confidentiality and documentation standards used for other medical circumstances, with information limited to need-to-know personnel.</w:t>
      </w:r>
    </w:p>
    <w:p>
      <w:pPr>
        <w:pStyle w:val="ListBullet"/>
        <w:spacing w:after="20"/>
      </w:pPr>
      <w:r>
        <w:t>Threats of self-harm, violence, or severe impairment should be escalated immediately through emergency and People Team channels.</w:t>
      </w:r>
    </w:p>
    <w:p>
      <w:pPr>
        <w:spacing w:before="120" w:after="40"/>
      </w:pPr>
      <w:r>
        <w:rPr>
          <w:b/>
          <w:color w:val="2C2C2C"/>
          <w:sz w:val="24"/>
        </w:rPr>
        <w:t>Examples and practical guidance</w:t>
      </w:r>
    </w:p>
    <w:p>
      <w:pPr>
        <w:spacing w:after="80" w:line="264" w:lineRule="auto"/>
      </w:pPr>
      <w:r>
        <w:t>Example: An employee experiencing panic attacks may request a short-term work adjustment while obtaining treatment. The company may request limited documentation to support the adjustment but will not require disclosure of unnecessary clinical details.</w:t>
      </w:r>
    </w:p>
    <w:p>
      <w:pPr>
        <w:spacing w:after="80" w:line="264" w:lineRule="auto"/>
      </w:pPr>
      <w:r>
        <w:t>Example: A manager who observes major behavioral change should privately check in, avoid public speculation, and direct the employee to formal support channels.</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PK-HR-014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