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Sick Leave and Medical Absence Policy</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PK-HR-017</w:t>
            </w:r>
          </w:p>
        </w:tc>
        <w:tc>
          <w:tcPr>
            <w:tcW w:type="dxa" w:w="2376"/>
          </w:tcPr>
          <w:p>
            <w:r>
              <w:rPr>
                <w:rFonts w:ascii="Arial" w:hAnsi="Arial"/>
                <w:sz w:val="18"/>
              </w:rPr>
              <w:t>Pakistan</w:t>
            </w:r>
          </w:p>
        </w:tc>
        <w:tc>
          <w:tcPr>
            <w:tcW w:type="dxa" w:w="2376"/>
          </w:tcPr>
          <w:p>
            <w:r>
              <w:rPr>
                <w:rFonts w:ascii="Arial" w:hAnsi="Arial"/>
                <w:sz w:val="18"/>
              </w:rPr>
              <w:t>People Team</w:t>
            </w:r>
          </w:p>
        </w:tc>
        <w:tc>
          <w:tcPr>
            <w:tcW w:type="dxa" w:w="2736"/>
          </w:tcPr>
          <w:p>
            <w:r>
              <w:rPr>
                <w:rFonts w:ascii="Arial" w:hAnsi="Arial"/>
                <w:sz w:val="18"/>
              </w:rPr>
              <w:t>peopleteam@company.com</w:t>
            </w:r>
          </w:p>
        </w:tc>
      </w:tr>
    </w:tbl>
    <w:p/>
    <w:p>
      <w:pPr>
        <w:spacing w:before="120" w:after="40"/>
      </w:pPr>
      <w:r>
        <w:rPr>
          <w:b/>
          <w:color w:val="2C2C2C"/>
          <w:sz w:val="24"/>
        </w:rPr>
        <w:t>Policy summary</w:t>
      </w:r>
    </w:p>
    <w:p>
      <w:pPr>
        <w:spacing w:after="80" w:line="264" w:lineRule="auto"/>
      </w:pPr>
      <w:r>
        <w:t>This document sets the Pakistan standard for sick leave and medical absence policy. It should be applied consistently across Pakistan operations unless a written exception is approved through the Policy Exception, Approval, and Governance Framework. Related references include PK-HR-010, PK-HR-013, PK-HR-020, PK-HR-021.</w:t>
      </w:r>
    </w:p>
    <w:p>
      <w:pPr>
        <w:spacing w:before="120" w:after="40"/>
      </w:pPr>
      <w:r>
        <w:rPr>
          <w:b/>
          <w:color w:val="2C2C2C"/>
          <w:sz w:val="24"/>
        </w:rPr>
        <w:t>Medical absence</w:t>
      </w:r>
    </w:p>
    <w:p>
      <w:pPr>
        <w:spacing w:after="80" w:line="264" w:lineRule="auto"/>
      </w:pPr>
      <w:r>
        <w:t>Employees may use up to 10 working days of paid sick leave in a calendar year for their own illness, injury, medical consultation, or short-term recovery. Sick leave is intended for genuine health-related absence and should not be used as a substitute for annual leave.</w:t>
      </w:r>
    </w:p>
    <w:p>
      <w:pPr>
        <w:spacing w:after="80" w:line="264" w:lineRule="auto"/>
      </w:pPr>
      <w:r>
        <w:t>The company recognizes that some illnesses can be sudden and may require same-day absence. In those cases the employee, or someone on the employee’s behalf if the person is unwell, should notify the manager as early as practical.</w:t>
      </w:r>
    </w:p>
    <w:p>
      <w:pPr>
        <w:pStyle w:val="ListBullet"/>
        <w:spacing w:after="20"/>
      </w:pPr>
      <w:r>
        <w:t>A manager may ask the employee to record the absence in the HR system once the employee is able to do so.</w:t>
      </w:r>
    </w:p>
    <w:p>
      <w:pPr>
        <w:pStyle w:val="ListBullet"/>
        <w:spacing w:after="20"/>
      </w:pPr>
      <w:r>
        <w:t>Medical documentation may be required from the third consecutive working day of absence or earlier if there is a pattern of absence immediately before or after weekends, holidays, or rejected leave requests.</w:t>
      </w:r>
    </w:p>
    <w:p>
      <w:pPr>
        <w:pStyle w:val="ListBullet"/>
        <w:spacing w:after="20"/>
      </w:pPr>
      <w:r>
        <w:t>Employees with frequent or extended medical absence may be referred to the Extended Leave and Return-to-Work Procedure for additional review and support.</w:t>
      </w:r>
    </w:p>
    <w:p>
      <w:pPr>
        <w:pStyle w:val="ListBullet"/>
        <w:spacing w:after="20"/>
      </w:pPr>
      <w:r>
        <w:t>Confidential medical information should be shared only with the People Team or the designated process owner, not with broad team distribution lists.</w:t>
      </w:r>
    </w:p>
    <w:p>
      <w:pPr>
        <w:spacing w:before="120" w:after="40"/>
      </w:pPr>
      <w:r>
        <w:rPr>
          <w:b/>
          <w:color w:val="2C2C2C"/>
          <w:sz w:val="24"/>
        </w:rPr>
        <w:t>Examples and practical guidance</w:t>
      </w:r>
    </w:p>
    <w:p>
      <w:pPr>
        <w:spacing w:after="80" w:line="264" w:lineRule="auto"/>
      </w:pPr>
      <w:r>
        <w:t>Example: An employee with fever sends a message before the workday starts, records sick leave after resting, and returns the next day. No medical note is normally required for a one-day routine illness.</w:t>
      </w:r>
    </w:p>
    <w:p>
      <w:pPr>
        <w:spacing w:after="80" w:line="264" w:lineRule="auto"/>
      </w:pPr>
      <w:r>
        <w:t>Example: A five-day medical absence after surgery may require a doctor note or discharge summary to support leave recording and any work restrictions on return.</w:t>
      </w:r>
    </w:p>
    <w:p>
      <w:pPr>
        <w:spacing w:before="120" w:after="40"/>
      </w:pPr>
      <w:r>
        <w:rPr>
          <w:b/>
          <w:color w:val="2C2C2C"/>
          <w:sz w:val="24"/>
        </w:rPr>
        <w:t>Questions and ownership</w:t>
      </w:r>
    </w:p>
    <w:p>
      <w:pPr>
        <w:spacing w:after="80" w:line="264" w:lineRule="auto"/>
      </w:pPr>
      <w:r>
        <w:t>Employees and managers should route questions about this policy to peopleteam@company.com.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PK-HR-017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