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Bereavement Leave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PK-HR-019</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bereavement leave policy. It should be applied consistently across Pakistan operations unless a written exception is approved through the Policy Exception, Approval, and Governance Framework. Related references include PK-HR-020, PK-HR-021, PK-HR-047.</w:t>
      </w:r>
    </w:p>
    <w:p>
      <w:pPr>
        <w:spacing w:before="120" w:after="40"/>
      </w:pPr>
      <w:r>
        <w:rPr>
          <w:b/>
          <w:color w:val="2C2C2C"/>
          <w:sz w:val="24"/>
        </w:rPr>
        <w:t>Bereavement support</w:t>
      </w:r>
    </w:p>
    <w:p>
      <w:pPr>
        <w:spacing w:after="80" w:line="264" w:lineRule="auto"/>
      </w:pPr>
      <w:r>
        <w:t>Employees may take paid bereavement leave of 5 working days for the death of an immediate family member and 2 working days for an extended family member, subject to the circumstances and any local business guidance. The purpose is to allow time for funeral arrangements, travel, mourning, and immediate family responsibilities.</w:t>
      </w:r>
    </w:p>
    <w:p>
      <w:pPr>
        <w:spacing w:after="80" w:line="264" w:lineRule="auto"/>
      </w:pPr>
      <w:r>
        <w:t>Because bereavement situations can be urgent and deeply personal, managers should approach requests with sensitivity and should not insist on unnecessary detail during the initial notification.</w:t>
      </w:r>
    </w:p>
    <w:p>
      <w:pPr>
        <w:pStyle w:val="ListBullet"/>
        <w:spacing w:after="20"/>
      </w:pPr>
      <w:r>
        <w:t>The employee should notify the manager or People Team as soon as possible and record the leave when practical.</w:t>
      </w:r>
    </w:p>
    <w:p>
      <w:pPr>
        <w:pStyle w:val="ListBullet"/>
        <w:spacing w:after="20"/>
      </w:pPr>
      <w:r>
        <w:t>Supporting documentation may be requested only where necessary to regularize attendance or where a longer absence is requested.</w:t>
      </w:r>
    </w:p>
    <w:p>
      <w:pPr>
        <w:pStyle w:val="ListBullet"/>
        <w:spacing w:after="20"/>
      </w:pPr>
      <w:r>
        <w:t>Additional annual leave, sick leave, remote-work flexibility, or unpaid leave may be considered if the employee needs more time because of travel, estate matters, or emotional impact.</w:t>
      </w:r>
    </w:p>
    <w:p>
      <w:pPr>
        <w:pStyle w:val="ListBullet"/>
        <w:spacing w:after="20"/>
      </w:pPr>
      <w:r>
        <w:t>The company expects managers to avoid scheduling non-urgent performance or disciplinary meetings during active bereavement unless there is a compelling reason.</w:t>
      </w:r>
    </w:p>
    <w:p>
      <w:pPr>
        <w:spacing w:before="120" w:after="40"/>
      </w:pPr>
      <w:r>
        <w:rPr>
          <w:b/>
          <w:color w:val="2C2C2C"/>
          <w:sz w:val="24"/>
        </w:rPr>
        <w:t>Examples and practical guidance</w:t>
      </w:r>
    </w:p>
    <w:p>
      <w:pPr>
        <w:spacing w:after="80" w:line="264" w:lineRule="auto"/>
      </w:pPr>
      <w:r>
        <w:t>Example: An employee traveling from Karachi to another city for a parent’s funeral may receive five working days of bereavement leave and may request annual leave for the balance if longer travel is necessary.</w:t>
      </w:r>
    </w:p>
    <w:p>
      <w:pPr>
        <w:spacing w:after="80" w:line="264" w:lineRule="auto"/>
      </w:pPr>
      <w:r>
        <w:t>Example: If the loss triggers significant distress or insomnia, the employee may also be directed to mental health support options.</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PK-HR-019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