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Leave Approval, Documentation, and Scheduling Rules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PK-HR-020</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leave approval, documentation, and scheduling rules. It should be applied consistently across Pakistan operations unless a written exception is approved through the Policy Exception, Approval, and Governance Framework. Related references include PK-HR-016, PK-HR-017, PK-HR-018, PK-HR-019.</w:t>
      </w:r>
    </w:p>
    <w:p>
      <w:pPr>
        <w:spacing w:before="120" w:after="40"/>
      </w:pPr>
      <w:r>
        <w:rPr>
          <w:b/>
          <w:color w:val="2C2C2C"/>
          <w:sz w:val="24"/>
        </w:rPr>
        <w:t>Operational rules</w:t>
      </w:r>
    </w:p>
    <w:p>
      <w:pPr>
        <w:spacing w:after="80" w:line="264" w:lineRule="auto"/>
      </w:pPr>
      <w:r>
        <w:t>Leave requests must be recorded through the designated HR system or approved backup method so managers, payroll, and People Team all rely on the same source of truth. Verbal discussions are useful for planning, but they do not replace formal submission.</w:t>
      </w:r>
    </w:p>
    <w:p>
      <w:pPr>
        <w:spacing w:after="80" w:line="264" w:lineRule="auto"/>
      </w:pPr>
      <w:r>
        <w:t>The aim of this policy is to reduce confusion around when leave is approved, what evidence is needed, and how teams maintain business continuity during absences.</w:t>
      </w:r>
    </w:p>
    <w:p>
      <w:pPr>
        <w:pStyle w:val="ListBullet"/>
        <w:spacing w:after="20"/>
      </w:pPr>
      <w:r>
        <w:t>Planned annual leave should generally be submitted at least 3 working days in advance for planned leave; longer blocks or holiday-season leave may require earlier notice.</w:t>
      </w:r>
    </w:p>
    <w:p>
      <w:pPr>
        <w:pStyle w:val="ListBullet"/>
        <w:spacing w:after="20"/>
      </w:pPr>
      <w:r>
        <w:t>Managers should approve, reject, or seek clarification promptly. A lack of response should not automatically be treated as approval.</w:t>
      </w:r>
    </w:p>
    <w:p>
      <w:pPr>
        <w:pStyle w:val="ListBullet"/>
        <w:spacing w:after="20"/>
      </w:pPr>
      <w:r>
        <w:t>Medical documentation should only be requested where policy requires it or where there is a legitimate operational reason, not as a routine barrier to every absence.</w:t>
      </w:r>
    </w:p>
    <w:p>
      <w:pPr>
        <w:pStyle w:val="ListBullet"/>
        <w:spacing w:after="20"/>
      </w:pPr>
      <w:r>
        <w:t>Employees remain responsible for handover notes, out-of-office messages, pending approvals, and naming a backup where their role requires continuity.</w:t>
      </w:r>
    </w:p>
    <w:p>
      <w:pPr>
        <w:spacing w:before="120" w:after="40"/>
      </w:pPr>
      <w:r>
        <w:rPr>
          <w:b/>
          <w:color w:val="2C2C2C"/>
          <w:sz w:val="24"/>
        </w:rPr>
        <w:t>Examples and practical guidance</w:t>
      </w:r>
    </w:p>
    <w:p>
      <w:pPr>
        <w:spacing w:after="80" w:line="264" w:lineRule="auto"/>
      </w:pPr>
      <w:r>
        <w:t>Example: A person taking two weeks of annual leave should close reimbursement approvals, confirm backup contact, and update critical trackers before the leave starts.</w:t>
      </w:r>
    </w:p>
    <w:p>
      <w:pPr>
        <w:spacing w:after="80" w:line="264" w:lineRule="auto"/>
      </w:pPr>
      <w:r>
        <w:t>Example: If a request was verbally discussed but never submitted in the HR system, the employee may still be marked absent until the record is regularized.</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PK-HR-020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