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C3F72"/>
          <w:sz w:val="36"/>
        </w:rPr>
        <w:t>Extended Leave and Return-to-Work Procedure</w:t>
      </w:r>
    </w:p>
    <w:p>
      <w:pPr>
        <w:jc w:val="left"/>
      </w:pPr>
      <w:r>
        <w:rPr>
          <w:i/>
          <w:color w:val="606060"/>
          <w:sz w:val="21"/>
        </w:rPr>
        <w:t>Pakistan Employee Policy</w:t>
      </w:r>
    </w:p>
    <w:tbl>
      <w:tblPr>
        <w:tblStyle w:val="TableGrid"/>
        <w:tblW w:type="auto" w:w="0"/>
        <w:tblLayout w:type="fixed"/>
        <w:tblLook w:firstColumn="1" w:firstRow="1" w:lastColumn="0" w:lastRow="0" w:noHBand="0" w:noVBand="1" w:val="04A0"/>
      </w:tblPr>
      <w:tblGrid>
        <w:gridCol w:w="2484"/>
        <w:gridCol w:w="2484"/>
        <w:gridCol w:w="2484"/>
        <w:gridCol w:w="2484"/>
      </w:tblGrid>
      <w:tr>
        <w:tc>
          <w:tcPr>
            <w:tcW w:type="dxa" w:w="2376"/>
            <w:shd w:fill="D9E6F2"/>
          </w:tcPr>
          <w:p>
            <w:r>
              <w:rPr>
                <w:rFonts w:ascii="Arial" w:hAnsi="Arial"/>
                <w:b/>
                <w:sz w:val="18"/>
              </w:rPr>
              <w:t>Document ID</w:t>
            </w:r>
          </w:p>
        </w:tc>
        <w:tc>
          <w:tcPr>
            <w:tcW w:type="dxa" w:w="2376"/>
            <w:shd w:fill="D9E6F2"/>
          </w:tcPr>
          <w:p>
            <w:r>
              <w:rPr>
                <w:rFonts w:ascii="Arial" w:hAnsi="Arial"/>
                <w:b/>
                <w:sz w:val="18"/>
              </w:rPr>
              <w:t>Country</w:t>
            </w:r>
          </w:p>
        </w:tc>
        <w:tc>
          <w:tcPr>
            <w:tcW w:type="dxa" w:w="2376"/>
            <w:shd w:fill="D9E6F2"/>
          </w:tcPr>
          <w:p>
            <w:r>
              <w:rPr>
                <w:rFonts w:ascii="Arial" w:hAnsi="Arial"/>
                <w:b/>
                <w:sz w:val="18"/>
              </w:rPr>
              <w:t>Owning Team</w:t>
            </w:r>
          </w:p>
        </w:tc>
        <w:tc>
          <w:tcPr>
            <w:tcW w:type="dxa" w:w="2736"/>
            <w:shd w:fill="D9E6F2"/>
          </w:tcPr>
          <w:p>
            <w:r>
              <w:rPr>
                <w:rFonts w:ascii="Arial" w:hAnsi="Arial"/>
                <w:b/>
                <w:sz w:val="18"/>
              </w:rPr>
              <w:t>Primary Contact</w:t>
            </w:r>
          </w:p>
        </w:tc>
      </w:tr>
      <w:tr>
        <w:tc>
          <w:tcPr>
            <w:tcW w:type="dxa" w:w="2376"/>
          </w:tcPr>
          <w:p>
            <w:r>
              <w:rPr>
                <w:rFonts w:ascii="Arial" w:hAnsi="Arial"/>
                <w:sz w:val="18"/>
              </w:rPr>
              <w:t>PK-HR-021</w:t>
            </w:r>
          </w:p>
        </w:tc>
        <w:tc>
          <w:tcPr>
            <w:tcW w:type="dxa" w:w="2376"/>
          </w:tcPr>
          <w:p>
            <w:r>
              <w:rPr>
                <w:rFonts w:ascii="Arial" w:hAnsi="Arial"/>
                <w:sz w:val="18"/>
              </w:rPr>
              <w:t>Pakistan</w:t>
            </w:r>
          </w:p>
        </w:tc>
        <w:tc>
          <w:tcPr>
            <w:tcW w:type="dxa" w:w="2376"/>
          </w:tcPr>
          <w:p>
            <w:r>
              <w:rPr>
                <w:rFonts w:ascii="Arial" w:hAnsi="Arial"/>
                <w:sz w:val="18"/>
              </w:rPr>
              <w:t>People Team</w:t>
            </w:r>
          </w:p>
        </w:tc>
        <w:tc>
          <w:tcPr>
            <w:tcW w:type="dxa" w:w="2736"/>
          </w:tcPr>
          <w:p>
            <w:r>
              <w:rPr>
                <w:rFonts w:ascii="Arial" w:hAnsi="Arial"/>
                <w:sz w:val="18"/>
              </w:rPr>
              <w:t>peopleteam@company.com</w:t>
            </w:r>
          </w:p>
        </w:tc>
      </w:tr>
    </w:tbl>
    <w:p/>
    <w:p>
      <w:pPr>
        <w:spacing w:before="120" w:after="40"/>
      </w:pPr>
      <w:r>
        <w:rPr>
          <w:b/>
          <w:color w:val="2C2C2C"/>
          <w:sz w:val="24"/>
        </w:rPr>
        <w:t>Policy summary</w:t>
      </w:r>
    </w:p>
    <w:p>
      <w:pPr>
        <w:spacing w:after="80" w:line="264" w:lineRule="auto"/>
      </w:pPr>
      <w:r>
        <w:t>This document sets the Pakistan standard for extended leave and return-to-work procedure. It should be applied consistently across Pakistan operations unless a written exception is approved through the Policy Exception, Approval, and Governance Framework. Related references include PK-HR-010, PK-HR-017, PK-HR-018, PK-HR-020.</w:t>
      </w:r>
    </w:p>
    <w:p>
      <w:pPr>
        <w:spacing w:before="120" w:after="40"/>
      </w:pPr>
      <w:r>
        <w:rPr>
          <w:b/>
          <w:color w:val="2C2C2C"/>
          <w:sz w:val="24"/>
        </w:rPr>
        <w:t>Extended absence and return</w:t>
      </w:r>
    </w:p>
    <w:p>
      <w:pPr>
        <w:spacing w:after="80" w:line="264" w:lineRule="auto"/>
      </w:pPr>
      <w:r>
        <w:t>This procedure applies to absences longer than 10 consecutive working days, unpaid leave requests, extended medical absence, or cases where an employee returns with restrictions that may affect duties, scheduling, or office attendance. The objective is to support recovery while allowing the business to plan responsibly.</w:t>
      </w:r>
    </w:p>
    <w:p>
      <w:pPr>
        <w:spacing w:after="80" w:line="264" w:lineRule="auto"/>
      </w:pPr>
      <w:r>
        <w:t>The process may involve the employee, manager, People Team, payroll, benefits, and IT support depending on the situation.</w:t>
      </w:r>
    </w:p>
    <w:p>
      <w:pPr>
        <w:pStyle w:val="ListBullet"/>
        <w:spacing w:after="20"/>
      </w:pPr>
      <w:r>
        <w:t>The employee should provide the best available update on expected duration and any work limitations as soon as practical.</w:t>
      </w:r>
    </w:p>
    <w:p>
      <w:pPr>
        <w:pStyle w:val="ListBullet"/>
        <w:spacing w:after="20"/>
      </w:pPr>
      <w:r>
        <w:t>Where relevant, the company may request a fit note, discharge summary, or other limited documentation to understand restrictions and the expected return path.</w:t>
      </w:r>
    </w:p>
    <w:p>
      <w:pPr>
        <w:pStyle w:val="ListBullet"/>
        <w:spacing w:after="20"/>
      </w:pPr>
      <w:r>
        <w:t>A return-to-work discussion may cover temporary workload adjustments, remote-work needs, phased return, equipment changes, or leave balance implications.</w:t>
      </w:r>
    </w:p>
    <w:p>
      <w:pPr>
        <w:pStyle w:val="ListBullet"/>
        <w:spacing w:after="20"/>
      </w:pPr>
      <w:r>
        <w:t>Employees on extended absence must stay reasonably reachable for process updates unless their medical situation prevents this.</w:t>
      </w:r>
    </w:p>
    <w:p>
      <w:pPr>
        <w:spacing w:before="120" w:after="40"/>
      </w:pPr>
      <w:r>
        <w:rPr>
          <w:b/>
          <w:color w:val="2C2C2C"/>
          <w:sz w:val="24"/>
        </w:rPr>
        <w:t>Examples and practical guidance</w:t>
      </w:r>
    </w:p>
    <w:p>
      <w:pPr>
        <w:spacing w:after="80" w:line="264" w:lineRule="auto"/>
      </w:pPr>
      <w:r>
        <w:t>Example: A back-injury recovery may require a temporary work-from-home arrangement, delayed travel, and an ergonomic chair on return.</w:t>
      </w:r>
    </w:p>
    <w:p>
      <w:pPr>
        <w:spacing w:after="80" w:line="264" w:lineRule="auto"/>
      </w:pPr>
      <w:r>
        <w:t>Example: If paid sick leave is exhausted, the company may consider annual leave, unpaid leave, or another supported option depending on circumstances and business need.</w:t>
      </w:r>
    </w:p>
    <w:p>
      <w:pPr>
        <w:spacing w:before="120" w:after="40"/>
      </w:pPr>
      <w:r>
        <w:rPr>
          <w:b/>
          <w:color w:val="2C2C2C"/>
          <w:sz w:val="24"/>
        </w:rPr>
        <w:t>Questions and ownership</w:t>
      </w:r>
    </w:p>
    <w:p>
      <w:pPr>
        <w:spacing w:after="80" w:line="264" w:lineRule="auto"/>
      </w:pPr>
      <w:r>
        <w:t>Employees and managers should route questions about this policy to peopleteam@company.com. Where an issue also involves payroll, benefits, recruitment, onboarding, compliance, talent development, or IT access, the receiving team may coordinate with the relevant function before confirming the final response.</w:t>
      </w:r>
    </w:p>
    <w:p>
      <w:pPr>
        <w:spacing w:after="80" w:line="264" w:lineRule="auto"/>
      </w:pPr>
      <w:r>
        <w:t>This policy may be updated from time to time to reflect business requirements, vendor changes, process improvements, or applicable legal considerations. Employees are expected to follow the latest approved version circulated by the company.</w:t>
      </w:r>
    </w:p>
    <w:sectPr w:rsidR="00FC693F" w:rsidRPr="0006063C" w:rsidSect="00034616">
      <w:footerReference w:type="default" r:id="rId9"/>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PK-HR-021 | Pakistan</w:t>
    </w:r>
  </w:p>
  <w:p>
    <w:pP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