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Holiday Calendar and Regional Observance Policy</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PK-HR-022</w:t>
            </w:r>
          </w:p>
        </w:tc>
        <w:tc>
          <w:tcPr>
            <w:tcW w:type="dxa" w:w="2376"/>
          </w:tcPr>
          <w:p>
            <w:r>
              <w:rPr>
                <w:rFonts w:ascii="Arial" w:hAnsi="Arial"/>
                <w:sz w:val="18"/>
              </w:rPr>
              <w:t>Pakistan</w:t>
            </w:r>
          </w:p>
        </w:tc>
        <w:tc>
          <w:tcPr>
            <w:tcW w:type="dxa" w:w="2376"/>
          </w:tcPr>
          <w:p>
            <w:r>
              <w:rPr>
                <w:rFonts w:ascii="Arial" w:hAnsi="Arial"/>
                <w:sz w:val="18"/>
              </w:rPr>
              <w:t>People Team</w:t>
            </w:r>
          </w:p>
        </w:tc>
        <w:tc>
          <w:tcPr>
            <w:tcW w:type="dxa" w:w="2736"/>
          </w:tcPr>
          <w:p>
            <w:r>
              <w:rPr>
                <w:rFonts w:ascii="Arial" w:hAnsi="Arial"/>
                <w:sz w:val="18"/>
              </w:rPr>
              <w:t>peopleteam@company.com</w:t>
            </w:r>
          </w:p>
        </w:tc>
      </w:tr>
    </w:tbl>
    <w:p/>
    <w:p>
      <w:pPr>
        <w:spacing w:before="120" w:after="40"/>
      </w:pPr>
      <w:r>
        <w:rPr>
          <w:b/>
          <w:color w:val="2C2C2C"/>
          <w:sz w:val="24"/>
        </w:rPr>
        <w:t>Policy summary</w:t>
      </w:r>
    </w:p>
    <w:p>
      <w:pPr>
        <w:spacing w:after="80" w:line="264" w:lineRule="auto"/>
      </w:pPr>
      <w:r>
        <w:t>This document sets the Pakistan standard for holiday calendar and regional observance policy. It should be applied consistently across Pakistan operations unless a written exception is approved through the Policy Exception, Approval, and Governance Framework. Related references include PK-HR-016, PK-HR-020, PK-HR-038.</w:t>
      </w:r>
    </w:p>
    <w:p>
      <w:pPr>
        <w:spacing w:before="120" w:after="40"/>
      </w:pPr>
      <w:r>
        <w:rPr>
          <w:b/>
          <w:color w:val="2C2C2C"/>
          <w:sz w:val="24"/>
        </w:rPr>
        <w:t>Holiday scheduling</w:t>
      </w:r>
    </w:p>
    <w:p>
      <w:pPr>
        <w:spacing w:after="80" w:line="264" w:lineRule="auto"/>
      </w:pPr>
      <w:r>
        <w:t>Pakistan employees are covered by the annual holiday calendar issued by the company. The calendar considers public holidays, business operations, client obligations, and local office practices. Some holidays are fixed by date, while others may vary based on official announcements or moon-sighting practice.</w:t>
      </w:r>
    </w:p>
    <w:p>
      <w:pPr>
        <w:spacing w:after="80" w:line="264" w:lineRule="auto"/>
      </w:pPr>
      <w:r>
        <w:t>Because teams may operate across provinces and cities, the exact observance of a holiday can differ by office, function, or client-support requirement.</w:t>
      </w:r>
    </w:p>
    <w:p>
      <w:pPr>
        <w:pStyle w:val="ListBullet"/>
        <w:spacing w:after="20"/>
      </w:pPr>
      <w:r>
        <w:t>The company may announce closures or reduced staffing for major observances such as Eid holidays and national holidays relevant to the workforce.</w:t>
      </w:r>
    </w:p>
    <w:p>
      <w:pPr>
        <w:pStyle w:val="ListBullet"/>
        <w:spacing w:after="20"/>
      </w:pPr>
      <w:r>
        <w:t>If an employee is required to work on a designated holiday for operational reasons, the manager should arrange an alternate day off, compensatory time, or another approved treatment consistent with business rules.</w:t>
      </w:r>
    </w:p>
    <w:p>
      <w:pPr>
        <w:pStyle w:val="ListBullet"/>
        <w:spacing w:after="20"/>
      </w:pPr>
      <w:r>
        <w:t>Employees should not assume all schools, banks, or government-office closures automatically create a company holiday; the company calendar is the governing schedule.</w:t>
      </w:r>
    </w:p>
    <w:p>
      <w:pPr>
        <w:pStyle w:val="ListBullet"/>
        <w:spacing w:after="20"/>
      </w:pPr>
      <w:r>
        <w:t>Ramadan working arrangements, if any, will be communicated separately by operations or People Team.</w:t>
      </w:r>
    </w:p>
    <w:p>
      <w:pPr>
        <w:spacing w:before="120" w:after="40"/>
      </w:pPr>
      <w:r>
        <w:rPr>
          <w:b/>
          <w:color w:val="2C2C2C"/>
          <w:sz w:val="24"/>
        </w:rPr>
        <w:t>Examples and practical guidance</w:t>
      </w:r>
    </w:p>
    <w:p>
      <w:pPr>
        <w:spacing w:after="80" w:line="264" w:lineRule="auto"/>
      </w:pPr>
      <w:r>
        <w:t>Example: One office may observe a local closure due to building restrictions or security advisories while another location remains operational. Employees must follow the schedule communicated for their own work location.</w:t>
      </w:r>
    </w:p>
    <w:p>
      <w:pPr>
        <w:spacing w:after="80" w:line="264" w:lineRule="auto"/>
      </w:pPr>
      <w:r>
        <w:t>Example: A client support team working through part of an Eid holiday period may receive alternate time-off instructions from the manager and People Team.</w:t>
      </w:r>
    </w:p>
    <w:p>
      <w:pPr>
        <w:spacing w:before="120" w:after="40"/>
      </w:pPr>
      <w:r>
        <w:rPr>
          <w:b/>
          <w:color w:val="2C2C2C"/>
          <w:sz w:val="24"/>
        </w:rPr>
        <w:t>Questions and ownership</w:t>
      </w:r>
    </w:p>
    <w:p>
      <w:pPr>
        <w:spacing w:after="80" w:line="264" w:lineRule="auto"/>
      </w:pPr>
      <w:r>
        <w:t>Employees and managers should route questions about this policy to peopleteam@company.com.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PK-HR-022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