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Candidate Data Privacy Notice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PK-HR-030</w:t>
            </w:r>
          </w:p>
        </w:tc>
        <w:tc>
          <w:tcPr>
            <w:tcW w:type="dxa" w:w="2376"/>
          </w:tcPr>
          <w:p>
            <w:r>
              <w:rPr>
                <w:rFonts w:ascii="Arial" w:hAnsi="Arial"/>
                <w:sz w:val="18"/>
              </w:rPr>
              <w:t>Pakistan</w:t>
            </w:r>
          </w:p>
        </w:tc>
        <w:tc>
          <w:tcPr>
            <w:tcW w:type="dxa" w:w="2376"/>
          </w:tcPr>
          <w:p>
            <w:r>
              <w:rPr>
                <w:rFonts w:ascii="Arial" w:hAnsi="Arial"/>
                <w:sz w:val="18"/>
              </w:rPr>
              <w:t>Recruitment</w:t>
            </w:r>
          </w:p>
        </w:tc>
        <w:tc>
          <w:tcPr>
            <w:tcW w:type="dxa" w:w="2736"/>
          </w:tcPr>
          <w:p>
            <w:r>
              <w:rPr>
                <w:rFonts w:ascii="Arial" w:hAnsi="Arial"/>
                <w:sz w:val="18"/>
              </w:rPr>
              <w:t>recruitment@company.com</w:t>
            </w:r>
          </w:p>
        </w:tc>
      </w:tr>
    </w:tbl>
    <w:p/>
    <w:p>
      <w:pPr>
        <w:spacing w:before="120" w:after="40"/>
      </w:pPr>
      <w:r>
        <w:rPr>
          <w:b/>
          <w:color w:val="2C2C2C"/>
          <w:sz w:val="24"/>
        </w:rPr>
        <w:t>Policy summary</w:t>
      </w:r>
    </w:p>
    <w:p>
      <w:pPr>
        <w:spacing w:after="80" w:line="264" w:lineRule="auto"/>
      </w:pPr>
      <w:r>
        <w:t>This document sets the Pakistan standard for candidate data privacy notice. It should be applied consistently across Pakistan operations unless a written exception is approved through the Policy Exception, Approval, and Governance Framework. Related references include PK-HR-029, PK-HR-031, PK-HR-032, PK-HR-033.</w:t>
      </w:r>
    </w:p>
    <w:p>
      <w:pPr>
        <w:spacing w:before="120" w:after="40"/>
      </w:pPr>
      <w:r>
        <w:rPr>
          <w:b/>
          <w:color w:val="2C2C2C"/>
          <w:sz w:val="24"/>
        </w:rPr>
        <w:t>Privacy notice</w:t>
      </w:r>
    </w:p>
    <w:p>
      <w:pPr>
        <w:spacing w:after="80" w:line="264" w:lineRule="auto"/>
      </w:pPr>
      <w:r>
        <w:t>Candidate information is collected only for legitimate hiring and pre-employment purposes. Data may include CV details, contact information, compensation expectations, assessment results, interview notes, reference details, and pre-employment verification documents. The company handles this information as confidential and limits access to people involved in recruiting and employment decisions.</w:t>
      </w:r>
    </w:p>
    <w:p>
      <w:pPr>
        <w:spacing w:after="80" w:line="264" w:lineRule="auto"/>
      </w:pPr>
      <w:r>
        <w:t>The company may use applicant data to assess fit, communicate about openings, schedule interviews, complete checks with consent, and maintain records necessary to demonstrate hiring controls.</w:t>
      </w:r>
    </w:p>
    <w:p>
      <w:pPr>
        <w:pStyle w:val="ListBullet"/>
        <w:spacing w:after="20"/>
      </w:pPr>
      <w:r>
        <w:t>Candidate data should not be forwarded outside the hiring process without authorization.</w:t>
      </w:r>
    </w:p>
    <w:p>
      <w:pPr>
        <w:pStyle w:val="ListBullet"/>
        <w:spacing w:after="20"/>
      </w:pPr>
      <w:r>
        <w:t>Recruiters must not store candidate documents on personal devices or personal cloud drives.</w:t>
      </w:r>
    </w:p>
    <w:p>
      <w:pPr>
        <w:pStyle w:val="ListBullet"/>
        <w:spacing w:after="20"/>
      </w:pPr>
      <w:r>
        <w:t>Unsuccessful candidate records may be retained for a limited period, typically up to 12 months, unless a shorter period is required by law or a longer period is justified and communicated.</w:t>
      </w:r>
    </w:p>
    <w:p>
      <w:pPr>
        <w:pStyle w:val="ListBullet"/>
        <w:spacing w:after="20"/>
      </w:pPr>
      <w:r>
        <w:t>Candidates may request correction of basic factual data or ask questions about how their information is used.</w:t>
      </w:r>
    </w:p>
    <w:p>
      <w:pPr>
        <w:spacing w:before="120" w:after="40"/>
      </w:pPr>
      <w:r>
        <w:rPr>
          <w:b/>
          <w:color w:val="2C2C2C"/>
          <w:sz w:val="24"/>
        </w:rPr>
        <w:t>Examples and practical guidance</w:t>
      </w:r>
    </w:p>
    <w:p>
      <w:pPr>
        <w:spacing w:after="80" w:line="264" w:lineRule="auto"/>
      </w:pPr>
      <w:r>
        <w:t>Sensitive information requested during background verification or onboarding should be collected only when genuinely needed and through secure channels.</w:t>
      </w:r>
    </w:p>
    <w:p>
      <w:pPr>
        <w:spacing w:after="80" w:line="264" w:lineRule="auto"/>
      </w:pPr>
      <w:r>
        <w:t>Questions about candidate privacy should go to recruitment@company.com, with compliance@company.com involved where necessary.</w:t>
      </w:r>
    </w:p>
    <w:p>
      <w:pPr>
        <w:spacing w:before="120" w:after="40"/>
      </w:pPr>
      <w:r>
        <w:rPr>
          <w:b/>
          <w:color w:val="2C2C2C"/>
          <w:sz w:val="24"/>
        </w:rPr>
        <w:t>Questions and ownership</w:t>
      </w:r>
    </w:p>
    <w:p>
      <w:pPr>
        <w:spacing w:after="80" w:line="264" w:lineRule="auto"/>
      </w:pPr>
      <w:r>
        <w:t>Employees and managers should route questions about this policy to recruitment@company.com.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PK-HR-030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