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rial" w:hAnsi="Arial"/>
          <w:b/>
          <w:color w:val="1C3F72"/>
          <w:sz w:val="36"/>
        </w:rPr>
        <w:t>Interviewing, Feedback, and Hiring Panel Procedure</w:t>
      </w:r>
    </w:p>
    <w:p>
      <w:pPr>
        <w:jc w:val="left"/>
      </w:pPr>
      <w:r>
        <w:rPr>
          <w:i/>
          <w:color w:val="606060"/>
          <w:sz w:val="21"/>
        </w:rPr>
        <w:t>Pakistan Employee Policy</w:t>
      </w:r>
    </w:p>
    <w:tbl>
      <w:tblPr>
        <w:tblStyle w:val="TableGrid"/>
        <w:tblW w:type="auto" w:w="0"/>
        <w:tblLayout w:type="fixed"/>
        <w:tblLook w:firstColumn="1" w:firstRow="1" w:lastColumn="0" w:lastRow="0" w:noHBand="0" w:noVBand="1" w:val="04A0"/>
      </w:tblPr>
      <w:tblGrid>
        <w:gridCol w:w="2484"/>
        <w:gridCol w:w="2484"/>
        <w:gridCol w:w="2484"/>
        <w:gridCol w:w="2484"/>
      </w:tblGrid>
      <w:tr>
        <w:tc>
          <w:tcPr>
            <w:tcW w:type="dxa" w:w="2376"/>
            <w:shd w:fill="D9E6F2"/>
          </w:tcPr>
          <w:p>
            <w:r>
              <w:rPr>
                <w:rFonts w:ascii="Arial" w:hAnsi="Arial"/>
                <w:b/>
                <w:sz w:val="18"/>
              </w:rPr>
              <w:t>Document ID</w:t>
            </w:r>
          </w:p>
        </w:tc>
        <w:tc>
          <w:tcPr>
            <w:tcW w:type="dxa" w:w="2376"/>
            <w:shd w:fill="D9E6F2"/>
          </w:tcPr>
          <w:p>
            <w:r>
              <w:rPr>
                <w:rFonts w:ascii="Arial" w:hAnsi="Arial"/>
                <w:b/>
                <w:sz w:val="18"/>
              </w:rPr>
              <w:t>Country</w:t>
            </w:r>
          </w:p>
        </w:tc>
        <w:tc>
          <w:tcPr>
            <w:tcW w:type="dxa" w:w="2376"/>
            <w:shd w:fill="D9E6F2"/>
          </w:tcPr>
          <w:p>
            <w:r>
              <w:rPr>
                <w:rFonts w:ascii="Arial" w:hAnsi="Arial"/>
                <w:b/>
                <w:sz w:val="18"/>
              </w:rPr>
              <w:t>Owning Team</w:t>
            </w:r>
          </w:p>
        </w:tc>
        <w:tc>
          <w:tcPr>
            <w:tcW w:type="dxa" w:w="2736"/>
            <w:shd w:fill="D9E6F2"/>
          </w:tcPr>
          <w:p>
            <w:r>
              <w:rPr>
                <w:rFonts w:ascii="Arial" w:hAnsi="Arial"/>
                <w:b/>
                <w:sz w:val="18"/>
              </w:rPr>
              <w:t>Primary Contact</w:t>
            </w:r>
          </w:p>
        </w:tc>
      </w:tr>
      <w:tr>
        <w:tc>
          <w:tcPr>
            <w:tcW w:type="dxa" w:w="2376"/>
          </w:tcPr>
          <w:p>
            <w:r>
              <w:rPr>
                <w:rFonts w:ascii="Arial" w:hAnsi="Arial"/>
                <w:sz w:val="18"/>
              </w:rPr>
              <w:t>PK-HR-031</w:t>
            </w:r>
          </w:p>
        </w:tc>
        <w:tc>
          <w:tcPr>
            <w:tcW w:type="dxa" w:w="2376"/>
          </w:tcPr>
          <w:p>
            <w:r>
              <w:rPr>
                <w:rFonts w:ascii="Arial" w:hAnsi="Arial"/>
                <w:sz w:val="18"/>
              </w:rPr>
              <w:t>Pakistan</w:t>
            </w:r>
          </w:p>
        </w:tc>
        <w:tc>
          <w:tcPr>
            <w:tcW w:type="dxa" w:w="2376"/>
          </w:tcPr>
          <w:p>
            <w:r>
              <w:rPr>
                <w:rFonts w:ascii="Arial" w:hAnsi="Arial"/>
                <w:sz w:val="18"/>
              </w:rPr>
              <w:t>Recruitment</w:t>
            </w:r>
          </w:p>
        </w:tc>
        <w:tc>
          <w:tcPr>
            <w:tcW w:type="dxa" w:w="2736"/>
          </w:tcPr>
          <w:p>
            <w:r>
              <w:rPr>
                <w:rFonts w:ascii="Arial" w:hAnsi="Arial"/>
                <w:sz w:val="18"/>
              </w:rPr>
              <w:t>recruitment@company.com</w:t>
            </w:r>
          </w:p>
        </w:tc>
      </w:tr>
    </w:tbl>
    <w:p/>
    <w:p>
      <w:pPr>
        <w:spacing w:before="120" w:after="40"/>
      </w:pPr>
      <w:r>
        <w:rPr>
          <w:b/>
          <w:color w:val="2C2C2C"/>
          <w:sz w:val="24"/>
        </w:rPr>
        <w:t>Policy summary</w:t>
      </w:r>
    </w:p>
    <w:p>
      <w:pPr>
        <w:spacing w:after="80" w:line="264" w:lineRule="auto"/>
      </w:pPr>
      <w:r>
        <w:t>This document sets the Pakistan standard for interviewing, feedback, and hiring panel procedure. It should be applied consistently across Pakistan operations unless a written exception is approved through the Policy Exception, Approval, and Governance Framework. Related references include PK-HR-029, PK-HR-030, PK-HR-033.</w:t>
      </w:r>
    </w:p>
    <w:p>
      <w:pPr>
        <w:spacing w:before="120" w:after="40"/>
      </w:pPr>
      <w:r>
        <w:rPr>
          <w:b/>
          <w:color w:val="2C2C2C"/>
          <w:sz w:val="24"/>
        </w:rPr>
        <w:t>Interview process</w:t>
      </w:r>
    </w:p>
    <w:p>
      <w:pPr>
        <w:spacing w:after="80" w:line="264" w:lineRule="auto"/>
      </w:pPr>
      <w:r>
        <w:t>Interviewers should use a structured process that gives each candidate a fair opportunity to show capability. Panels should understand the role, the competencies being tested, and the reason they were selected to participate. The hiring manager remains accountable for the final recommendation, but a robust panel process improves decision quality.</w:t>
      </w:r>
    </w:p>
    <w:p>
      <w:pPr>
        <w:spacing w:after="80" w:line="264" w:lineRule="auto"/>
      </w:pPr>
      <w:r>
        <w:t>Panel members should review the candidate profile in advance and avoid duplicating the same questions across multiple rounds unless the repetition is intentional for calibration.</w:t>
      </w:r>
    </w:p>
    <w:p>
      <w:pPr>
        <w:pStyle w:val="ListBullet"/>
        <w:spacing w:after="20"/>
      </w:pPr>
      <w:r>
        <w:t>Interview questions should be relevant to the role and should not probe private matters unrelated to job performance.</w:t>
      </w:r>
    </w:p>
    <w:p>
      <w:pPr>
        <w:pStyle w:val="ListBullet"/>
        <w:spacing w:after="20"/>
      </w:pPr>
      <w:r>
        <w:t>Feedback should be recorded promptly, ideally within 2 business days of the interview, while observations are still fresh.</w:t>
      </w:r>
    </w:p>
    <w:p>
      <w:pPr>
        <w:pStyle w:val="ListBullet"/>
        <w:spacing w:after="20"/>
      </w:pPr>
      <w:r>
        <w:t>Ratings should be supported by specific evidence or examples rather than vague impressions such as “good communication” or “not a culture fit.”</w:t>
      </w:r>
    </w:p>
    <w:p>
      <w:pPr>
        <w:pStyle w:val="ListBullet"/>
        <w:spacing w:after="20"/>
      </w:pPr>
      <w:r>
        <w:t>If an interviewer has a conflict of interest or knows the candidate personally, recruitment@company.com should be informed so panel composition can be reconsidered.</w:t>
      </w:r>
    </w:p>
    <w:p>
      <w:pPr>
        <w:spacing w:before="120" w:after="40"/>
      </w:pPr>
      <w:r>
        <w:rPr>
          <w:b/>
          <w:color w:val="2C2C2C"/>
          <w:sz w:val="24"/>
        </w:rPr>
        <w:t>Examples and practical guidance</w:t>
      </w:r>
    </w:p>
    <w:p>
      <w:pPr>
        <w:spacing w:after="80" w:line="264" w:lineRule="auto"/>
      </w:pPr>
      <w:r>
        <w:t>Example: A technical role may include a problem-solving discussion, a collaboration round, and a manager fit conversation, each with distinct evaluation criteria.</w:t>
      </w:r>
    </w:p>
    <w:p>
      <w:pPr>
        <w:spacing w:after="80" w:line="264" w:lineRule="auto"/>
      </w:pPr>
      <w:r>
        <w:t>Example: If one panelist gives an outlier rating, the recruiter may ask for clarification before the final hiring recommendation is submitted.</w:t>
      </w:r>
    </w:p>
    <w:p>
      <w:pPr>
        <w:spacing w:before="120" w:after="40"/>
      </w:pPr>
      <w:r>
        <w:rPr>
          <w:b/>
          <w:color w:val="2C2C2C"/>
          <w:sz w:val="24"/>
        </w:rPr>
        <w:t>Questions and ownership</w:t>
      </w:r>
    </w:p>
    <w:p>
      <w:pPr>
        <w:spacing w:after="80" w:line="264" w:lineRule="auto"/>
      </w:pPr>
      <w:r>
        <w:t>Employees and managers should route questions about this policy to recruitment@company.com. Where an issue also involves payroll, benefits, recruitment, onboarding, compliance, talent development, or IT access, the receiving team may coordinate with the relevant function before confirming the final response.</w:t>
      </w:r>
    </w:p>
    <w:p>
      <w:pPr>
        <w:spacing w:after="80" w:line="264" w:lineRule="auto"/>
      </w:pPr>
      <w:r>
        <w:t>This policy may be updated from time to time to reflect business requirements, vendor changes, process improvements, or applicable legal considerations. Employees are expected to follow the latest approved version circulated by the company.</w:t>
      </w:r>
    </w:p>
    <w:sectPr w:rsidR="00FC693F" w:rsidRPr="0006063C" w:rsidSect="00034616">
      <w:footerReference w:type="default" r:id="rId9"/>
      <w:pgSz w:w="12240" w:h="15840"/>
      <w:pgMar w:top="1008"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t>PK-HR-031 | Pakistan</w:t>
    </w:r>
  </w:p>
  <w:p>
    <w:pP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