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Onboarding First 30 Days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PK-HR-034</w:t>
            </w:r>
          </w:p>
        </w:tc>
        <w:tc>
          <w:tcPr>
            <w:tcW w:type="dxa" w:w="2376"/>
          </w:tcPr>
          <w:p>
            <w:r>
              <w:rPr>
                <w:rFonts w:ascii="Arial" w:hAnsi="Arial"/>
                <w:sz w:val="18"/>
              </w:rPr>
              <w:t>Pakistan</w:t>
            </w:r>
          </w:p>
        </w:tc>
        <w:tc>
          <w:tcPr>
            <w:tcW w:type="dxa" w:w="2376"/>
          </w:tcPr>
          <w:p>
            <w:r>
              <w:rPr>
                <w:rFonts w:ascii="Arial" w:hAnsi="Arial"/>
                <w:sz w:val="18"/>
              </w:rPr>
              <w:t>Onboarding</w:t>
            </w:r>
          </w:p>
        </w:tc>
        <w:tc>
          <w:tcPr>
            <w:tcW w:type="dxa" w:w="2736"/>
          </w:tcPr>
          <w:p>
            <w:r>
              <w:rPr>
                <w:rFonts w:ascii="Arial" w:hAnsi="Arial"/>
                <w:sz w:val="18"/>
              </w:rPr>
              <w:t>onboarding@company.com</w:t>
            </w:r>
          </w:p>
        </w:tc>
      </w:tr>
    </w:tbl>
    <w:p/>
    <w:p>
      <w:pPr>
        <w:spacing w:before="120" w:after="40"/>
      </w:pPr>
      <w:r>
        <w:rPr>
          <w:b/>
          <w:color w:val="2C2C2C"/>
          <w:sz w:val="24"/>
        </w:rPr>
        <w:t>Policy summary</w:t>
      </w:r>
    </w:p>
    <w:p>
      <w:pPr>
        <w:spacing w:after="80" w:line="264" w:lineRule="auto"/>
      </w:pPr>
      <w:r>
        <w:t>This document sets the Pakistan standard for onboarding first 30 days policy. It should be applied consistently across Pakistan operations unless a written exception is approved through the Policy Exception, Approval, and Governance Framework. Related references include PK-HR-033, PK-HR-035, PK-HR-039, PK-HR-049.</w:t>
      </w:r>
    </w:p>
    <w:p>
      <w:pPr>
        <w:spacing w:before="120" w:after="40"/>
      </w:pPr>
      <w:r>
        <w:rPr>
          <w:b/>
          <w:color w:val="2C2C2C"/>
          <w:sz w:val="24"/>
        </w:rPr>
        <w:t>First 30 days</w:t>
      </w:r>
    </w:p>
    <w:p>
      <w:pPr>
        <w:spacing w:after="80" w:line="264" w:lineRule="auto"/>
      </w:pPr>
      <w:r>
        <w:t>The first month of employment is intended to establish compliance, clarity, and connection. New joiners should receive an introduction to business expectations, reporting lines, timekeeping, leave rules, information security, and any role-specific tools needed to perform work safely and effectively.</w:t>
      </w:r>
    </w:p>
    <w:p>
      <w:pPr>
        <w:spacing w:after="80" w:line="264" w:lineRule="auto"/>
      </w:pPr>
      <w:r>
        <w:t>A good first 30 days reduces avoidable errors in attendance, payroll, expense claims, and information handling.</w:t>
      </w:r>
    </w:p>
    <w:p>
      <w:pPr>
        <w:pStyle w:val="ListBullet"/>
        <w:spacing w:after="20"/>
      </w:pPr>
      <w:r>
        <w:t>Onboarding will normally cover identity and payroll documentation, workstation or system setup, policy orientation, manager check-ins, and completion of mandatory learning.</w:t>
      </w:r>
    </w:p>
    <w:p>
      <w:pPr>
        <w:pStyle w:val="ListBullet"/>
        <w:spacing w:after="20"/>
      </w:pPr>
      <w:r>
        <w:t>The manager should explain role priorities, key stakeholders, communication norms, and what successful completion of the first month looks like.</w:t>
      </w:r>
    </w:p>
    <w:p>
      <w:pPr>
        <w:pStyle w:val="ListBullet"/>
        <w:spacing w:after="20"/>
      </w:pPr>
      <w:r>
        <w:t>The employee is responsible for asking questions early if any payroll, access, attendance, or benefit issue is unclear.</w:t>
      </w:r>
    </w:p>
    <w:p>
      <w:pPr>
        <w:pStyle w:val="ListBullet"/>
        <w:spacing w:after="20"/>
      </w:pPr>
      <w:r>
        <w:t>Any delay in providing documents such as CNIC copy, bank details, or emergency contact may affect payroll or benefit setup.</w:t>
      </w:r>
    </w:p>
    <w:p>
      <w:pPr>
        <w:spacing w:before="120" w:after="40"/>
      </w:pPr>
      <w:r>
        <w:rPr>
          <w:b/>
          <w:color w:val="2C2C2C"/>
          <w:sz w:val="24"/>
        </w:rPr>
        <w:t>Examples and practical guidance</w:t>
      </w:r>
    </w:p>
    <w:p>
      <w:pPr>
        <w:spacing w:after="80" w:line="264" w:lineRule="auto"/>
      </w:pPr>
      <w:r>
        <w:t>Example: A new joiner should know where to record leave, how to review the payslip, which mailbox to contact for HR questions, and how to raise an IT ticket by the end of the first week.</w:t>
      </w:r>
    </w:p>
    <w:p>
      <w:pPr>
        <w:spacing w:after="80" w:line="264" w:lineRule="auto"/>
      </w:pPr>
      <w:r>
        <w:t>Example: If hardware is delayed, IT Support and Onboarding should coordinate a temporary solution rather than leaving the employee unable to work productively.</w:t>
      </w:r>
    </w:p>
    <w:p>
      <w:pPr>
        <w:spacing w:before="120" w:after="40"/>
      </w:pPr>
      <w:r>
        <w:rPr>
          <w:b/>
          <w:color w:val="2C2C2C"/>
          <w:sz w:val="24"/>
        </w:rPr>
        <w:t>Questions and ownership</w:t>
      </w:r>
    </w:p>
    <w:p>
      <w:pPr>
        <w:spacing w:after="80" w:line="264" w:lineRule="auto"/>
      </w:pPr>
      <w:r>
        <w:t>Employees and managers should route questions about this policy to onboarding@company.com.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PK-HR-034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