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Remote Work Eligibility and Expectations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PK-HR-036</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remote work eligibility and expectations policy. It should be applied consistently across Pakistan operations unless a written exception is approved through the Policy Exception, Approval, and Governance Framework. Related references include PK-HR-037, PK-HR-038, PK-HR-039, PK-HR-040.</w:t>
      </w:r>
    </w:p>
    <w:p>
      <w:pPr>
        <w:spacing w:before="120" w:after="40"/>
      </w:pPr>
      <w:r>
        <w:rPr>
          <w:b/>
          <w:color w:val="2C2C2C"/>
          <w:sz w:val="24"/>
        </w:rPr>
        <w:t>Eligibility and controls</w:t>
      </w:r>
    </w:p>
    <w:p>
      <w:pPr>
        <w:spacing w:after="80" w:line="264" w:lineRule="auto"/>
      </w:pPr>
      <w:r>
        <w:t>Remote work may be allowed where the role is suitable, the manager can supervise performance effectively, and information-security controls can be maintained. As a general rule, routine remote work eligibility begins after successful confirmation in role unless an earlier arrangement is approved, though exceptions may be approved for hiring, medical, business-continuity, or family reasons.</w:t>
      </w:r>
    </w:p>
    <w:p>
      <w:pPr>
        <w:spacing w:after="80" w:line="264" w:lineRule="auto"/>
      </w:pPr>
      <w:r>
        <w:t>Remote work is a work arrangement, not an entitlement to set one’s own attendance or availability without coordination.</w:t>
      </w:r>
    </w:p>
    <w:p>
      <w:pPr>
        <w:pStyle w:val="ListBullet"/>
        <w:spacing w:after="20"/>
      </w:pPr>
      <w:r>
        <w:t>Employees must maintain a secure work environment, reliable internet, and a professional standard of responsiveness during agreed working hours.</w:t>
      </w:r>
    </w:p>
    <w:p>
      <w:pPr>
        <w:pStyle w:val="ListBullet"/>
        <w:spacing w:after="20"/>
      </w:pPr>
      <w:r>
        <w:t>Company devices, approved networks, and information-security rules continue to apply outside the office.</w:t>
      </w:r>
    </w:p>
    <w:p>
      <w:pPr>
        <w:pStyle w:val="ListBullet"/>
        <w:spacing w:after="20"/>
      </w:pPr>
      <w:r>
        <w:t>Remote workers may be required to attend office meetings, training, audit reviews, or client sessions with reasonable notice.</w:t>
      </w:r>
    </w:p>
    <w:p>
      <w:pPr>
        <w:pStyle w:val="ListBullet"/>
        <w:spacing w:after="20"/>
      </w:pPr>
      <w:r>
        <w:t>Managers should review whether the arrangement remains effective based on performance, collaboration, data handling, and service requirements.</w:t>
      </w:r>
    </w:p>
    <w:p>
      <w:pPr>
        <w:spacing w:before="120" w:after="40"/>
      </w:pPr>
      <w:r>
        <w:rPr>
          <w:b/>
          <w:color w:val="2C2C2C"/>
          <w:sz w:val="24"/>
        </w:rPr>
        <w:t>Examples and practical guidance</w:t>
      </w:r>
    </w:p>
    <w:p>
      <w:pPr>
        <w:spacing w:after="80" w:line="264" w:lineRule="auto"/>
      </w:pPr>
      <w:r>
        <w:t>Example: A temporary remote arrangement after surgery may be approved before confirmation if the role and security setup allow it.</w:t>
      </w:r>
    </w:p>
    <w:p>
      <w:pPr>
        <w:spacing w:after="80" w:line="264" w:lineRule="auto"/>
      </w:pPr>
      <w:r>
        <w:t>Example: A remote employee who repeatedly misses critical meetings or uses insecure devices may have the arrangement revised or withdrawn.</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PK-HR-036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