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Information Security Awareness for Employees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PK-HR-040</w:t>
            </w:r>
          </w:p>
        </w:tc>
        <w:tc>
          <w:tcPr>
            <w:tcW w:type="dxa" w:w="2376"/>
          </w:tcPr>
          <w:p>
            <w:r>
              <w:rPr>
                <w:rFonts w:ascii="Arial" w:hAnsi="Arial"/>
                <w:sz w:val="18"/>
              </w:rPr>
              <w:t>Pakistan</w:t>
            </w:r>
          </w:p>
        </w:tc>
        <w:tc>
          <w:tcPr>
            <w:tcW w:type="dxa" w:w="2376"/>
          </w:tcPr>
          <w:p>
            <w:r>
              <w:rPr>
                <w:rFonts w:ascii="Arial" w:hAnsi="Arial"/>
                <w:sz w:val="18"/>
              </w:rPr>
              <w:t>IT Support</w:t>
            </w:r>
          </w:p>
        </w:tc>
        <w:tc>
          <w:tcPr>
            <w:tcW w:type="dxa" w:w="2736"/>
          </w:tcPr>
          <w:p>
            <w:r>
              <w:rPr>
                <w:rFonts w:ascii="Arial" w:hAnsi="Arial"/>
                <w:sz w:val="18"/>
              </w:rPr>
              <w:t>itsupport@company.com</w:t>
            </w:r>
          </w:p>
        </w:tc>
      </w:tr>
    </w:tbl>
    <w:p/>
    <w:p>
      <w:pPr>
        <w:spacing w:before="120" w:after="40"/>
      </w:pPr>
      <w:r>
        <w:rPr>
          <w:b/>
          <w:color w:val="2C2C2C"/>
          <w:sz w:val="24"/>
        </w:rPr>
        <w:t>Policy summary</w:t>
      </w:r>
    </w:p>
    <w:p>
      <w:pPr>
        <w:spacing w:after="80" w:line="264" w:lineRule="auto"/>
      </w:pPr>
      <w:r>
        <w:t>This document sets the Pakistan standard for information security awareness for employees. It should be applied consistently across Pakistan operations unless a written exception is approved through the Policy Exception, Approval, and Governance Framework. Related references include PK-HR-036, PK-HR-039, PK-HR-041, PK-HR-047.</w:t>
      </w:r>
    </w:p>
    <w:p>
      <w:pPr>
        <w:spacing w:before="120" w:after="40"/>
      </w:pPr>
      <w:r>
        <w:rPr>
          <w:b/>
          <w:color w:val="2C2C2C"/>
          <w:sz w:val="24"/>
        </w:rPr>
        <w:t>Security awareness</w:t>
      </w:r>
    </w:p>
    <w:p>
      <w:pPr>
        <w:spacing w:after="80" w:line="264" w:lineRule="auto"/>
      </w:pPr>
      <w:r>
        <w:t>Employees are an essential part of information security. Even strong technical controls can be undermined by phishing, weak passwords, careless file sharing, or unverified requests. This policy explains the baseline behaviors expected of everyone who handles company information or systems.</w:t>
      </w:r>
    </w:p>
    <w:p>
      <w:pPr>
        <w:spacing w:after="80" w:line="264" w:lineRule="auto"/>
      </w:pPr>
      <w:r>
        <w:t>Security awareness is not only an IT issue. It affects payroll files, candidate records, benefit data, customer information, source code, and internal strategy material.</w:t>
      </w:r>
    </w:p>
    <w:p>
      <w:pPr>
        <w:pStyle w:val="ListBullet"/>
        <w:spacing w:after="20"/>
      </w:pPr>
      <w:r>
        <w:t>Be cautious with unexpected links, attachments, or requests for urgent payment, password reset, or bank-change action.</w:t>
      </w:r>
    </w:p>
    <w:p>
      <w:pPr>
        <w:pStyle w:val="ListBullet"/>
        <w:spacing w:after="20"/>
      </w:pPr>
      <w:r>
        <w:t>Confirm sensitive requests through a second channel when the request is unusual, high-value, or inconsistent with normal approval practice.</w:t>
      </w:r>
    </w:p>
    <w:p>
      <w:pPr>
        <w:pStyle w:val="ListBullet"/>
        <w:spacing w:after="20"/>
      </w:pPr>
      <w:r>
        <w:t>Use approved storage locations and naming conventions so records are not lost across personal folders or personal devices.</w:t>
      </w:r>
    </w:p>
    <w:p>
      <w:pPr>
        <w:pStyle w:val="ListBullet"/>
        <w:spacing w:after="20"/>
      </w:pPr>
      <w:r>
        <w:t>Complete required security training and simulations on time.</w:t>
      </w:r>
    </w:p>
    <w:p>
      <w:pPr>
        <w:spacing w:before="120" w:after="40"/>
      </w:pPr>
      <w:r>
        <w:rPr>
          <w:b/>
          <w:color w:val="2C2C2C"/>
          <w:sz w:val="24"/>
        </w:rPr>
        <w:t>Examples and practical guidance</w:t>
      </w:r>
    </w:p>
    <w:p>
      <w:pPr>
        <w:spacing w:after="80" w:line="264" w:lineRule="auto"/>
      </w:pPr>
      <w:r>
        <w:t>Example: A message that appears to come from a senior leader asking Payroll to change an employee’s bank account without the normal process should be treated as suspicious and verified through established controls.</w:t>
      </w:r>
    </w:p>
    <w:p>
      <w:pPr>
        <w:spacing w:after="80" w:line="264" w:lineRule="auto"/>
      </w:pPr>
      <w:r>
        <w:t>Example: Taking a screenshot of candidate CNIC data and sharing it in a general group chat is prohibited.</w:t>
      </w:r>
    </w:p>
    <w:p>
      <w:pPr>
        <w:spacing w:before="120" w:after="40"/>
      </w:pPr>
      <w:r>
        <w:rPr>
          <w:b/>
          <w:color w:val="2C2C2C"/>
          <w:sz w:val="24"/>
        </w:rPr>
        <w:t>Questions and ownership</w:t>
      </w:r>
    </w:p>
    <w:p>
      <w:pPr>
        <w:spacing w:after="80" w:line="264" w:lineRule="auto"/>
      </w:pPr>
      <w:r>
        <w:t>Employees and managers should route questions about this policy to itsupport@company.com.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PK-HR-040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