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Employee Records Management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PK-HR-041</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employee records management policy. It should be applied consistently across Pakistan operations unless a written exception is approved through the Policy Exception, Approval, and Governance Framework. Related references include PK-HR-010, PK-HR-030, PK-HR-039, PK-HR-047.</w:t>
      </w:r>
    </w:p>
    <w:p>
      <w:pPr>
        <w:spacing w:before="120" w:after="40"/>
      </w:pPr>
      <w:r>
        <w:rPr>
          <w:b/>
          <w:color w:val="2C2C2C"/>
          <w:sz w:val="24"/>
        </w:rPr>
        <w:t>Records management</w:t>
      </w:r>
    </w:p>
    <w:p>
      <w:pPr>
        <w:spacing w:after="80" w:line="264" w:lineRule="auto"/>
      </w:pPr>
      <w:r>
        <w:t>The company maintains employee records needed for lawful employment, payroll, benefits, performance, security, and business continuity. These records may include joining documents, attendance data, compensation records, training completion, emergency contacts, and role history. Access is limited to personnel with a legitimate business need.</w:t>
      </w:r>
    </w:p>
    <w:p>
      <w:pPr>
        <w:spacing w:after="80" w:line="264" w:lineRule="auto"/>
      </w:pPr>
      <w:r>
        <w:t>Accurate records protect both employees and the company. They reduce confusion when questions arise about pay, leave, benefit coverage, role changes, and final settlements.</w:t>
      </w:r>
    </w:p>
    <w:p>
      <w:pPr>
        <w:pStyle w:val="ListBullet"/>
        <w:spacing w:after="20"/>
      </w:pPr>
      <w:r>
        <w:t>Employees must notify the company of changes to personal information—such as address, bank account, marital status, emergency contact, or name spelling—within 7 calendar days.</w:t>
      </w:r>
    </w:p>
    <w:p>
      <w:pPr>
        <w:pStyle w:val="ListBullet"/>
        <w:spacing w:after="20"/>
      </w:pPr>
      <w:r>
        <w:t>Original or certified copies may be requested for identity or payroll updates where necessary.</w:t>
      </w:r>
    </w:p>
    <w:p>
      <w:pPr>
        <w:pStyle w:val="ListBullet"/>
        <w:spacing w:after="20"/>
      </w:pPr>
      <w:r>
        <w:t>Managers must not keep unofficial “shadow files” containing sensitive employee information outside approved systems.</w:t>
      </w:r>
    </w:p>
    <w:p>
      <w:pPr>
        <w:pStyle w:val="ListBullet"/>
        <w:spacing w:after="20"/>
      </w:pPr>
      <w:r>
        <w:t>Record-retention periods are determined by legal, business, and audit requirements.</w:t>
      </w:r>
    </w:p>
    <w:p>
      <w:pPr>
        <w:spacing w:before="120" w:after="40"/>
      </w:pPr>
      <w:r>
        <w:rPr>
          <w:b/>
          <w:color w:val="2C2C2C"/>
          <w:sz w:val="24"/>
        </w:rPr>
        <w:t>Examples and practical guidance</w:t>
      </w:r>
    </w:p>
    <w:p>
      <w:pPr>
        <w:spacing w:after="80" w:line="264" w:lineRule="auto"/>
      </w:pPr>
      <w:r>
        <w:t>Example: A change in bank account should be updated through the designated process well before payroll cutoff. Sending new account details casually in a chat message is not sufficient.</w:t>
      </w:r>
    </w:p>
    <w:p>
      <w:pPr>
        <w:spacing w:after="80" w:line="264" w:lineRule="auto"/>
      </w:pPr>
      <w:r>
        <w:t>Example: If an employee changes marital status and needs a dependent benefit update, employee records and benefits records should be updated together.</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PK-HR-041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