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Arial" w:hAnsi="Arial"/>
          <w:b/>
          <w:color w:val="1C3F72"/>
          <w:sz w:val="36"/>
        </w:rPr>
        <w:t>Manager Responsibilities in People Operations</w:t>
      </w:r>
    </w:p>
    <w:p>
      <w:pPr>
        <w:jc w:val="left"/>
      </w:pPr>
      <w:r>
        <w:rPr>
          <w:i/>
          <w:color w:val="606060"/>
          <w:sz w:val="21"/>
        </w:rPr>
        <w:t>Pakistan Employee Policy</w:t>
      </w:r>
    </w:p>
    <w:tbl>
      <w:tblPr>
        <w:tblStyle w:val="TableGrid"/>
        <w:tblW w:type="auto" w:w="0"/>
        <w:tblLayout w:type="fixed"/>
        <w:tblLook w:firstColumn="1" w:firstRow="1" w:lastColumn="0" w:lastRow="0" w:noHBand="0" w:noVBand="1" w:val="04A0"/>
      </w:tblPr>
      <w:tblGrid>
        <w:gridCol w:w="2484"/>
        <w:gridCol w:w="2484"/>
        <w:gridCol w:w="2484"/>
        <w:gridCol w:w="2484"/>
      </w:tblGrid>
      <w:tr>
        <w:tc>
          <w:tcPr>
            <w:tcW w:type="dxa" w:w="2376"/>
            <w:shd w:fill="D9E6F2"/>
          </w:tcPr>
          <w:p>
            <w:r>
              <w:rPr>
                <w:rFonts w:ascii="Arial" w:hAnsi="Arial"/>
                <w:b/>
                <w:sz w:val="18"/>
              </w:rPr>
              <w:t>Document ID</w:t>
            </w:r>
          </w:p>
        </w:tc>
        <w:tc>
          <w:tcPr>
            <w:tcW w:type="dxa" w:w="2376"/>
            <w:shd w:fill="D9E6F2"/>
          </w:tcPr>
          <w:p>
            <w:r>
              <w:rPr>
                <w:rFonts w:ascii="Arial" w:hAnsi="Arial"/>
                <w:b/>
                <w:sz w:val="18"/>
              </w:rPr>
              <w:t>Country</w:t>
            </w:r>
          </w:p>
        </w:tc>
        <w:tc>
          <w:tcPr>
            <w:tcW w:type="dxa" w:w="2376"/>
            <w:shd w:fill="D9E6F2"/>
          </w:tcPr>
          <w:p>
            <w:r>
              <w:rPr>
                <w:rFonts w:ascii="Arial" w:hAnsi="Arial"/>
                <w:b/>
                <w:sz w:val="18"/>
              </w:rPr>
              <w:t>Owning Team</w:t>
            </w:r>
          </w:p>
        </w:tc>
        <w:tc>
          <w:tcPr>
            <w:tcW w:type="dxa" w:w="2736"/>
            <w:shd w:fill="D9E6F2"/>
          </w:tcPr>
          <w:p>
            <w:r>
              <w:rPr>
                <w:rFonts w:ascii="Arial" w:hAnsi="Arial"/>
                <w:b/>
                <w:sz w:val="18"/>
              </w:rPr>
              <w:t>Primary Contact</w:t>
            </w:r>
          </w:p>
        </w:tc>
      </w:tr>
      <w:tr>
        <w:tc>
          <w:tcPr>
            <w:tcW w:type="dxa" w:w="2376"/>
          </w:tcPr>
          <w:p>
            <w:r>
              <w:rPr>
                <w:rFonts w:ascii="Arial" w:hAnsi="Arial"/>
                <w:sz w:val="18"/>
              </w:rPr>
              <w:t>PK-HR-042</w:t>
            </w:r>
          </w:p>
        </w:tc>
        <w:tc>
          <w:tcPr>
            <w:tcW w:type="dxa" w:w="2376"/>
          </w:tcPr>
          <w:p>
            <w:r>
              <w:rPr>
                <w:rFonts w:ascii="Arial" w:hAnsi="Arial"/>
                <w:sz w:val="18"/>
              </w:rPr>
              <w:t>Pakistan</w:t>
            </w:r>
          </w:p>
        </w:tc>
        <w:tc>
          <w:tcPr>
            <w:tcW w:type="dxa" w:w="2376"/>
          </w:tcPr>
          <w:p>
            <w:r>
              <w:rPr>
                <w:rFonts w:ascii="Arial" w:hAnsi="Arial"/>
                <w:sz w:val="18"/>
              </w:rPr>
              <w:t>People Team</w:t>
            </w:r>
          </w:p>
        </w:tc>
        <w:tc>
          <w:tcPr>
            <w:tcW w:type="dxa" w:w="2736"/>
          </w:tcPr>
          <w:p>
            <w:r>
              <w:rPr>
                <w:rFonts w:ascii="Arial" w:hAnsi="Arial"/>
                <w:sz w:val="18"/>
              </w:rPr>
              <w:t>peopleteam@company.com</w:t>
            </w:r>
          </w:p>
        </w:tc>
      </w:tr>
    </w:tbl>
    <w:p/>
    <w:p>
      <w:pPr>
        <w:spacing w:before="120" w:after="40"/>
      </w:pPr>
      <w:r>
        <w:rPr>
          <w:b/>
          <w:color w:val="2C2C2C"/>
          <w:sz w:val="24"/>
        </w:rPr>
        <w:t>Policy summary</w:t>
      </w:r>
    </w:p>
    <w:p>
      <w:pPr>
        <w:spacing w:after="80" w:line="264" w:lineRule="auto"/>
      </w:pPr>
      <w:r>
        <w:t>This document sets the Pakistan standard for manager responsibilities in people operations. It should be applied consistently across Pakistan operations unless a written exception is approved through the Policy Exception, Approval, and Governance Framework. Related references include PK-HR-020, PK-HR-035, PK-HR-043, PK-HR-049.</w:t>
      </w:r>
    </w:p>
    <w:p>
      <w:pPr>
        <w:spacing w:before="120" w:after="40"/>
      </w:pPr>
      <w:r>
        <w:rPr>
          <w:b/>
          <w:color w:val="2C2C2C"/>
          <w:sz w:val="24"/>
        </w:rPr>
        <w:t>Manager role</w:t>
      </w:r>
    </w:p>
    <w:p>
      <w:pPr>
        <w:spacing w:after="80" w:line="264" w:lineRule="auto"/>
      </w:pPr>
      <w:r>
        <w:t>Managers are the first line of people operations. They are expected to apply policy consistently, maintain team records and approvals on time, and escalate sensitive matters rather than improvising solutions that create hidden risk. Good people management includes clarity, fairness, follow-through, and documentation.</w:t>
      </w:r>
    </w:p>
    <w:p>
      <w:pPr>
        <w:spacing w:after="80" w:line="264" w:lineRule="auto"/>
      </w:pPr>
      <w:r>
        <w:t>Managers influence whether policies work in practice. Delayed approvals, inconsistent exceptions, and poor handovers often start as manager execution issues rather than policy defects.</w:t>
      </w:r>
    </w:p>
    <w:p>
      <w:pPr>
        <w:pStyle w:val="ListBullet"/>
        <w:spacing w:after="20"/>
      </w:pPr>
      <w:r>
        <w:t>Approve or respond to leave, attendance, reimbursement, hiring, and probation workflows within stated timelines or as soon as practical.</w:t>
      </w:r>
    </w:p>
    <w:p>
      <w:pPr>
        <w:pStyle w:val="ListBullet"/>
        <w:spacing w:after="20"/>
      </w:pPr>
      <w:r>
        <w:t>Escalate conduct issues, protected reports, accommodation requests, or policy exceptions through the correct channel instead of trying to solve them privately without support.</w:t>
      </w:r>
    </w:p>
    <w:p>
      <w:pPr>
        <w:pStyle w:val="ListBullet"/>
        <w:spacing w:after="20"/>
      </w:pPr>
      <w:r>
        <w:t>Provide timely feedback and documentation for probation, performance, corrective action, and role-change recommendations.</w:t>
      </w:r>
    </w:p>
    <w:p>
      <w:pPr>
        <w:pStyle w:val="ListBullet"/>
        <w:spacing w:after="20"/>
      </w:pPr>
      <w:r>
        <w:t>Safeguard confidential information and avoid discussing employee matters in informal settings or broad distribution groups.</w:t>
      </w:r>
    </w:p>
    <w:p>
      <w:pPr>
        <w:spacing w:before="120" w:after="40"/>
      </w:pPr>
      <w:r>
        <w:rPr>
          <w:b/>
          <w:color w:val="2C2C2C"/>
          <w:sz w:val="24"/>
        </w:rPr>
        <w:t>Examples and practical guidance</w:t>
      </w:r>
    </w:p>
    <w:p>
      <w:pPr>
        <w:spacing w:after="80" w:line="264" w:lineRule="auto"/>
      </w:pPr>
      <w:r>
        <w:t>Example: A manager should not promise a transfer, salary correction, or exception to policy until the required approvals are obtained.</w:t>
      </w:r>
    </w:p>
    <w:p>
      <w:pPr>
        <w:spacing w:after="80" w:line="264" w:lineRule="auto"/>
      </w:pPr>
      <w:r>
        <w:t>Example: When an employee discloses a serious complaint, the manager should acknowledge the concern, avoid prejudging the outcome, and connect the employee with People Team or Compliance promptly.</w:t>
      </w:r>
    </w:p>
    <w:p>
      <w:pPr>
        <w:spacing w:before="120" w:after="40"/>
      </w:pPr>
      <w:r>
        <w:rPr>
          <w:b/>
          <w:color w:val="2C2C2C"/>
          <w:sz w:val="24"/>
        </w:rPr>
        <w:t>Questions and ownership</w:t>
      </w:r>
    </w:p>
    <w:p>
      <w:pPr>
        <w:spacing w:after="80" w:line="264" w:lineRule="auto"/>
      </w:pPr>
      <w:r>
        <w:t>Employees and managers should route questions about this policy to peopleteam@company.com. Where an issue also involves payroll, benefits, recruitment, onboarding, compliance, talent development, or IT access, the receiving team may coordinate with the relevant function before confirming the final response.</w:t>
      </w:r>
    </w:p>
    <w:p>
      <w:pPr>
        <w:spacing w:after="80" w:line="264" w:lineRule="auto"/>
      </w:pPr>
      <w:r>
        <w:t>This policy may be updated from time to time to reflect business requirements, vendor changes, process improvements, or applicable legal considerations. Employees are expected to follow the latest approved version circulated by the company.</w:t>
      </w:r>
    </w:p>
    <w:sectPr w:rsidR="00FC693F" w:rsidRPr="0006063C" w:rsidSect="00034616">
      <w:footerReference w:type="default" r:id="rId9"/>
      <w:pgSz w:w="12240" w:h="15840"/>
      <w:pgMar w:top="1008" w:right="1152" w:bottom="864"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t>PK-HR-042 | Pakistan</w:t>
    </w:r>
  </w:p>
  <w:p>
    <w:pPr>
      <w:jc w:val="right"/>
    </w:pPr>
    <w:r>
      <w:t xml:space="preserve">Page </w:t>
    </w: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