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rial" w:hAnsi="Arial"/>
          <w:b/>
          <w:color w:val="1C3F72"/>
          <w:sz w:val="36"/>
        </w:rPr>
        <w:t>Learning and Development Support Policy</w:t>
      </w:r>
    </w:p>
    <w:p>
      <w:pPr>
        <w:jc w:val="left"/>
      </w:pPr>
      <w:r>
        <w:rPr>
          <w:i/>
          <w:color w:val="606060"/>
          <w:sz w:val="21"/>
        </w:rPr>
        <w:t>Pakistan Employee Policy</w:t>
      </w:r>
    </w:p>
    <w:tbl>
      <w:tblPr>
        <w:tblStyle w:val="TableGrid"/>
        <w:tblW w:type="auto" w:w="0"/>
        <w:tblLayout w:type="fixed"/>
        <w:tblLook w:firstColumn="1" w:firstRow="1" w:lastColumn="0" w:lastRow="0" w:noHBand="0" w:noVBand="1" w:val="04A0"/>
      </w:tblPr>
      <w:tblGrid>
        <w:gridCol w:w="2484"/>
        <w:gridCol w:w="2484"/>
        <w:gridCol w:w="2484"/>
        <w:gridCol w:w="2484"/>
      </w:tblGrid>
      <w:tr>
        <w:tc>
          <w:tcPr>
            <w:tcW w:type="dxa" w:w="2376"/>
            <w:shd w:fill="D9E6F2"/>
          </w:tcPr>
          <w:p>
            <w:r>
              <w:rPr>
                <w:rFonts w:ascii="Arial" w:hAnsi="Arial"/>
                <w:b/>
                <w:sz w:val="18"/>
              </w:rPr>
              <w:t>Document ID</w:t>
            </w:r>
          </w:p>
        </w:tc>
        <w:tc>
          <w:tcPr>
            <w:tcW w:type="dxa" w:w="2376"/>
            <w:shd w:fill="D9E6F2"/>
          </w:tcPr>
          <w:p>
            <w:r>
              <w:rPr>
                <w:rFonts w:ascii="Arial" w:hAnsi="Arial"/>
                <w:b/>
                <w:sz w:val="18"/>
              </w:rPr>
              <w:t>Country</w:t>
            </w:r>
          </w:p>
        </w:tc>
        <w:tc>
          <w:tcPr>
            <w:tcW w:type="dxa" w:w="2376"/>
            <w:shd w:fill="D9E6F2"/>
          </w:tcPr>
          <w:p>
            <w:r>
              <w:rPr>
                <w:rFonts w:ascii="Arial" w:hAnsi="Arial"/>
                <w:b/>
                <w:sz w:val="18"/>
              </w:rPr>
              <w:t>Owning Team</w:t>
            </w:r>
          </w:p>
        </w:tc>
        <w:tc>
          <w:tcPr>
            <w:tcW w:type="dxa" w:w="2736"/>
            <w:shd w:fill="D9E6F2"/>
          </w:tcPr>
          <w:p>
            <w:r>
              <w:rPr>
                <w:rFonts w:ascii="Arial" w:hAnsi="Arial"/>
                <w:b/>
                <w:sz w:val="18"/>
              </w:rPr>
              <w:t>Primary Contact</w:t>
            </w:r>
          </w:p>
        </w:tc>
      </w:tr>
      <w:tr>
        <w:tc>
          <w:tcPr>
            <w:tcW w:type="dxa" w:w="2376"/>
          </w:tcPr>
          <w:p>
            <w:r>
              <w:rPr>
                <w:rFonts w:ascii="Arial" w:hAnsi="Arial"/>
                <w:sz w:val="18"/>
              </w:rPr>
              <w:t>PK-HR-045</w:t>
            </w:r>
          </w:p>
        </w:tc>
        <w:tc>
          <w:tcPr>
            <w:tcW w:type="dxa" w:w="2376"/>
          </w:tcPr>
          <w:p>
            <w:r>
              <w:rPr>
                <w:rFonts w:ascii="Arial" w:hAnsi="Arial"/>
                <w:sz w:val="18"/>
              </w:rPr>
              <w:t>Pakistan</w:t>
            </w:r>
          </w:p>
        </w:tc>
        <w:tc>
          <w:tcPr>
            <w:tcW w:type="dxa" w:w="2376"/>
          </w:tcPr>
          <w:p>
            <w:r>
              <w:rPr>
                <w:rFonts w:ascii="Arial" w:hAnsi="Arial"/>
                <w:sz w:val="18"/>
              </w:rPr>
              <w:t>Talent Development</w:t>
            </w:r>
          </w:p>
        </w:tc>
        <w:tc>
          <w:tcPr>
            <w:tcW w:type="dxa" w:w="2736"/>
          </w:tcPr>
          <w:p>
            <w:r>
              <w:rPr>
                <w:rFonts w:ascii="Arial" w:hAnsi="Arial"/>
                <w:sz w:val="18"/>
              </w:rPr>
              <w:t>talentdevelopment@company.com</w:t>
            </w:r>
          </w:p>
        </w:tc>
      </w:tr>
    </w:tbl>
    <w:p/>
    <w:p>
      <w:pPr>
        <w:spacing w:before="120" w:after="40"/>
      </w:pPr>
      <w:r>
        <w:rPr>
          <w:b/>
          <w:color w:val="2C2C2C"/>
          <w:sz w:val="24"/>
        </w:rPr>
        <w:t>Policy summary</w:t>
      </w:r>
    </w:p>
    <w:p>
      <w:pPr>
        <w:spacing w:after="80" w:line="264" w:lineRule="auto"/>
      </w:pPr>
      <w:r>
        <w:t>This document sets the Pakistan standard for learning and development support policy. It should be applied consistently across Pakistan operations unless a written exception is approved through the Policy Exception, Approval, and Governance Framework. Related references include PK-HR-009, PK-HR-014, PK-HR-044, PK-HR-046.</w:t>
      </w:r>
    </w:p>
    <w:p>
      <w:pPr>
        <w:spacing w:before="120" w:after="40"/>
      </w:pPr>
      <w:r>
        <w:rPr>
          <w:b/>
          <w:color w:val="2C2C2C"/>
          <w:sz w:val="24"/>
        </w:rPr>
        <w:t>Learning support</w:t>
      </w:r>
    </w:p>
    <w:p>
      <w:pPr>
        <w:spacing w:after="80" w:line="264" w:lineRule="auto"/>
      </w:pPr>
      <w:r>
        <w:t>The company encourages continuous learning that is relevant to current responsibilities, future roles, client needs, or leadership development. Learning may occur through internal workshops, manager coaching, certifications, conferences, external courses, language improvement, and self-directed study supported by business approval.</w:t>
      </w:r>
    </w:p>
    <w:p>
      <w:pPr>
        <w:spacing w:after="80" w:line="264" w:lineRule="auto"/>
      </w:pPr>
      <w:r>
        <w:t>Employees should choose learning activities that have a clear connection to job performance or career development rather than treating company support as a general personal subsidy.</w:t>
      </w:r>
    </w:p>
    <w:p>
      <w:pPr>
        <w:pStyle w:val="ListBullet"/>
        <w:spacing w:after="20"/>
      </w:pPr>
      <w:r>
        <w:t>Approved external learning support may be available up to up to PKR 75,000 per calendar year for approved external learning, subject to budget, role relevance, and completion evidence.</w:t>
      </w:r>
    </w:p>
    <w:p>
      <w:pPr>
        <w:pStyle w:val="ListBullet"/>
        <w:spacing w:after="20"/>
      </w:pPr>
      <w:r>
        <w:t>Pre-approval is required before any reimbursement commitment is made.</w:t>
      </w:r>
    </w:p>
    <w:p>
      <w:pPr>
        <w:pStyle w:val="ListBullet"/>
        <w:spacing w:after="20"/>
      </w:pPr>
      <w:r>
        <w:t>Employees may be required to share learning outcomes with their team, apply the learning in a project, or remain with the company for a minimum period if a high-cost program is funded.</w:t>
      </w:r>
    </w:p>
    <w:p>
      <w:pPr>
        <w:pStyle w:val="ListBullet"/>
        <w:spacing w:after="20"/>
      </w:pPr>
      <w:r>
        <w:t>Talent Development may prioritize programs for scarce skills, leadership pipelines, or strategic business capabilities.</w:t>
      </w:r>
    </w:p>
    <w:p>
      <w:pPr>
        <w:spacing w:before="120" w:after="40"/>
      </w:pPr>
      <w:r>
        <w:rPr>
          <w:b/>
          <w:color w:val="2C2C2C"/>
          <w:sz w:val="24"/>
        </w:rPr>
        <w:t>Examples and practical guidance</w:t>
      </w:r>
    </w:p>
    <w:p>
      <w:pPr>
        <w:spacing w:after="80" w:line="264" w:lineRule="auto"/>
      </w:pPr>
      <w:r>
        <w:t>Example: A software engineer may request funding for a cloud certification that directly supports project work and future delivery needs.</w:t>
      </w:r>
    </w:p>
    <w:p>
      <w:pPr>
        <w:spacing w:after="80" w:line="264" w:lineRule="auto"/>
      </w:pPr>
      <w:r>
        <w:t>Example: A manager attending an external workshop may be asked to run a short internal debrief for other leaders.</w:t>
      </w:r>
    </w:p>
    <w:p>
      <w:pPr>
        <w:spacing w:before="120" w:after="40"/>
      </w:pPr>
      <w:r>
        <w:rPr>
          <w:b/>
          <w:color w:val="2C2C2C"/>
          <w:sz w:val="24"/>
        </w:rPr>
        <w:t>Questions and ownership</w:t>
      </w:r>
    </w:p>
    <w:p>
      <w:pPr>
        <w:spacing w:after="80" w:line="264" w:lineRule="auto"/>
      </w:pPr>
      <w:r>
        <w:t>Employees and managers should route questions about this policy to talentdevelopment@company.com. Where an issue also involves payroll, benefits, recruitment, onboarding, compliance, talent development, or IT access, the receiving team may coordinate with the relevant function before confirming the final response.</w:t>
      </w:r>
    </w:p>
    <w:p>
      <w:pPr>
        <w:spacing w:after="80" w:line="264" w:lineRule="auto"/>
      </w:pPr>
      <w:r>
        <w:t>This policy may be updated from time to time to reflect business requirements, vendor changes, process improvements, or applicable legal considerations. Employees are expected to follow the latest approved version circulated by the company.</w:t>
      </w:r>
    </w:p>
    <w:sectPr w:rsidR="00FC693F" w:rsidRPr="0006063C" w:rsidSect="00034616">
      <w:footerReference w:type="default" r:id="rId9"/>
      <w:pgSz w:w="12240" w:h="15840"/>
      <w:pgMar w:top="1008" w:right="1152"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t>PK-HR-045 | Pakistan</w:t>
    </w:r>
  </w:p>
  <w:p>
    <w:pPr>
      <w:jc w:val="right"/>
    </w:pPr>
    <w:r>
      <w:t xml:space="preserve">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