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Recognition, Awards, and Spot Bonus Guidelines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PK-HR-046</w:t>
            </w:r>
          </w:p>
        </w:tc>
        <w:tc>
          <w:tcPr>
            <w:tcW w:type="dxa" w:w="2376"/>
          </w:tcPr>
          <w:p>
            <w:r>
              <w:rPr>
                <w:rFonts w:ascii="Arial" w:hAnsi="Arial"/>
                <w:sz w:val="18"/>
              </w:rPr>
              <w:t>Pakistan</w:t>
            </w:r>
          </w:p>
        </w:tc>
        <w:tc>
          <w:tcPr>
            <w:tcW w:type="dxa" w:w="2376"/>
          </w:tcPr>
          <w:p>
            <w:r>
              <w:rPr>
                <w:rFonts w:ascii="Arial" w:hAnsi="Arial"/>
                <w:sz w:val="18"/>
              </w:rPr>
              <w:t>Benefits</w:t>
            </w:r>
          </w:p>
        </w:tc>
        <w:tc>
          <w:tcPr>
            <w:tcW w:type="dxa" w:w="2736"/>
          </w:tcPr>
          <w:p>
            <w:r>
              <w:rPr>
                <w:rFonts w:ascii="Arial" w:hAnsi="Arial"/>
                <w:sz w:val="18"/>
              </w:rPr>
              <w:t>benefits@company.com</w:t>
            </w:r>
          </w:p>
        </w:tc>
      </w:tr>
    </w:tbl>
    <w:p/>
    <w:p>
      <w:pPr>
        <w:spacing w:before="120" w:after="40"/>
      </w:pPr>
      <w:r>
        <w:rPr>
          <w:b/>
          <w:color w:val="2C2C2C"/>
          <w:sz w:val="24"/>
        </w:rPr>
        <w:t>Policy summary</w:t>
      </w:r>
    </w:p>
    <w:p>
      <w:pPr>
        <w:spacing w:after="80" w:line="264" w:lineRule="auto"/>
      </w:pPr>
      <w:r>
        <w:t>This document sets the Pakistan standard for recognition, awards, and spot bonus guidelines. It should be applied consistently across Pakistan operations unless a written exception is approved through the Policy Exception, Approval, and Governance Framework. Related references include PK-HR-015, PK-HR-028, PK-HR-045.</w:t>
      </w:r>
    </w:p>
    <w:p>
      <w:pPr>
        <w:spacing w:before="120" w:after="40"/>
      </w:pPr>
      <w:r>
        <w:rPr>
          <w:b/>
          <w:color w:val="2C2C2C"/>
          <w:sz w:val="24"/>
        </w:rPr>
        <w:t>Recognition program</w:t>
      </w:r>
    </w:p>
    <w:p>
      <w:pPr>
        <w:spacing w:after="80" w:line="264" w:lineRule="auto"/>
      </w:pPr>
      <w:r>
        <w:t>Recognition programs are designed to reinforce values, acknowledge meaningful contribution, and encourage timely appreciation of work that has a visible business or people impact. Recognition may include thank-you notes, peer recognition, awards, certificates, gift items, or spot bonuses depending on the significance of the achievement and annual budget rules.</w:t>
      </w:r>
    </w:p>
    <w:p>
      <w:pPr>
        <w:spacing w:after="80" w:line="264" w:lineRule="auto"/>
      </w:pPr>
      <w:r>
        <w:t>Recognition should be specific, fair, and linked to observable contribution. It should not be used to bypass compensation governance or to reward ordinary expectations without context.</w:t>
      </w:r>
    </w:p>
    <w:p>
      <w:pPr>
        <w:pStyle w:val="ListBullet"/>
        <w:spacing w:after="20"/>
      </w:pPr>
      <w:r>
        <w:t>Spot bonuses, where used, generally fall in the range of typically PKR 10,000 to PKR 100,000 depending on impact and approval level and require formal approval before communication.</w:t>
      </w:r>
    </w:p>
    <w:p>
      <w:pPr>
        <w:pStyle w:val="ListBullet"/>
        <w:spacing w:after="20"/>
      </w:pPr>
      <w:r>
        <w:t>Recognition decisions should avoid favoritism and should consider whether contributions from support functions or quieter team members are being overlooked.</w:t>
      </w:r>
    </w:p>
    <w:p>
      <w:pPr>
        <w:pStyle w:val="ListBullet"/>
        <w:spacing w:after="20"/>
      </w:pPr>
      <w:r>
        <w:t>Awards may be taxable and may appear in payroll according to the applicable cycle.</w:t>
      </w:r>
    </w:p>
    <w:p>
      <w:pPr>
        <w:pStyle w:val="ListBullet"/>
        <w:spacing w:after="20"/>
      </w:pPr>
      <w:r>
        <w:t>Managers should document the reason for a significant award so the decision is understandable later.</w:t>
      </w:r>
    </w:p>
    <w:p>
      <w:pPr>
        <w:spacing w:before="120" w:after="40"/>
      </w:pPr>
      <w:r>
        <w:rPr>
          <w:b/>
          <w:color w:val="2C2C2C"/>
          <w:sz w:val="24"/>
        </w:rPr>
        <w:t>Examples and practical guidance</w:t>
      </w:r>
    </w:p>
    <w:p>
      <w:pPr>
        <w:spacing w:after="80" w:line="264" w:lineRule="auto"/>
      </w:pPr>
      <w:r>
        <w:t>Example: A cross-functional team member who resolves a critical client issue over a sustained period may receive a documented spot bonus if the impact is exceptional and approvals are obtained.</w:t>
      </w:r>
    </w:p>
    <w:p>
      <w:pPr>
        <w:spacing w:after="80" w:line="264" w:lineRule="auto"/>
      </w:pPr>
      <w:r>
        <w:t>Example: A short thank-you message in a team meeting is encouraged, but a monetary award still requires the standard approval process.</w:t>
      </w:r>
    </w:p>
    <w:p>
      <w:pPr>
        <w:spacing w:before="120" w:after="40"/>
      </w:pPr>
      <w:r>
        <w:rPr>
          <w:b/>
          <w:color w:val="2C2C2C"/>
          <w:sz w:val="24"/>
        </w:rPr>
        <w:t>Questions and ownership</w:t>
      </w:r>
    </w:p>
    <w:p>
      <w:pPr>
        <w:spacing w:after="80" w:line="264" w:lineRule="auto"/>
      </w:pPr>
      <w:r>
        <w:t>Employees and managers should route questions about this policy to benefits@company.com.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PK-HR-046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