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Offboarding and Exit Clearance Procedure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PK-HR-047</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offboarding and exit clearance procedure. It should be applied consistently across Pakistan operations unless a written exception is approved through the Policy Exception, Approval, and Governance Framework. Related references include PK-HR-012, PK-HR-018, PK-HR-039, PK-HR-048.</w:t>
      </w:r>
    </w:p>
    <w:p>
      <w:pPr>
        <w:spacing w:before="120" w:after="40"/>
      </w:pPr>
      <w:r>
        <w:rPr>
          <w:b/>
          <w:color w:val="2C2C2C"/>
          <w:sz w:val="24"/>
        </w:rPr>
        <w:t>Exit clearance</w:t>
      </w:r>
    </w:p>
    <w:p>
      <w:pPr>
        <w:spacing w:after="80" w:line="264" w:lineRule="auto"/>
      </w:pPr>
      <w:r>
        <w:t>Offboarding begins when resignation is accepted, separation is initiated, or a fixed-term contract ends. The goal is to protect continuity, company assets, data, and the departing employee’s final settlement by using a structured checklist rather than relying on informal handovers.</w:t>
      </w:r>
    </w:p>
    <w:p>
      <w:pPr>
        <w:spacing w:after="80" w:line="264" w:lineRule="auto"/>
      </w:pPr>
      <w:r>
        <w:t>Employees and managers should treat exit planning seriously from the first confirmed separation date.</w:t>
      </w:r>
    </w:p>
    <w:p>
      <w:pPr>
        <w:pStyle w:val="ListBullet"/>
        <w:spacing w:after="20"/>
      </w:pPr>
      <w:r>
        <w:t>A handover plan should identify open work, client contacts, approvals in progress, passwords or access that must be transferred through proper means, and the status of company equipment.</w:t>
      </w:r>
    </w:p>
    <w:p>
      <w:pPr>
        <w:pStyle w:val="ListBullet"/>
        <w:spacing w:after="20"/>
      </w:pPr>
      <w:r>
        <w:t>The departing employee must return company assets such as laptop, ID card, access card, documents, and any specialized equipment, unless a written exception exists.</w:t>
      </w:r>
    </w:p>
    <w:p>
      <w:pPr>
        <w:pStyle w:val="ListBullet"/>
        <w:spacing w:after="20"/>
      </w:pPr>
      <w:r>
        <w:t>Managers must complete exit clearances promptly so payroll and IT can process the separation without avoidable delay.</w:t>
      </w:r>
    </w:p>
    <w:p>
      <w:pPr>
        <w:pStyle w:val="ListBullet"/>
        <w:spacing w:after="20"/>
      </w:pPr>
      <w:r>
        <w:t>Access should be reduced or removed based on the separation timeline and risk level.</w:t>
      </w:r>
    </w:p>
    <w:p>
      <w:pPr>
        <w:spacing w:before="120" w:after="40"/>
      </w:pPr>
      <w:r>
        <w:rPr>
          <w:b/>
          <w:color w:val="2C2C2C"/>
          <w:sz w:val="24"/>
        </w:rPr>
        <w:t>Examples and practical guidance</w:t>
      </w:r>
    </w:p>
    <w:p>
      <w:pPr>
        <w:spacing w:after="80" w:line="264" w:lineRule="auto"/>
      </w:pPr>
      <w:r>
        <w:t>Example: An employee serving notice should document project status, pending risks, and key contact details for the replacement or interim owner.</w:t>
      </w:r>
    </w:p>
    <w:p>
      <w:pPr>
        <w:spacing w:after="80" w:line="264" w:lineRule="auto"/>
      </w:pPr>
      <w:r>
        <w:t>Example: If equipment is in another city, the employee should coordinate courier return or office drop-off as instructed rather than waiting until after the last day with no plan.</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PK-HR-047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