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Final Pay, Asset Return, and Separation Policy</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PK-HR-048</w:t>
            </w:r>
          </w:p>
        </w:tc>
        <w:tc>
          <w:tcPr>
            <w:tcW w:type="dxa" w:w="2376"/>
          </w:tcPr>
          <w:p>
            <w:r>
              <w:rPr>
                <w:rFonts w:ascii="Arial" w:hAnsi="Arial"/>
                <w:sz w:val="18"/>
              </w:rPr>
              <w:t>Pakistan</w:t>
            </w:r>
          </w:p>
        </w:tc>
        <w:tc>
          <w:tcPr>
            <w:tcW w:type="dxa" w:w="2376"/>
          </w:tcPr>
          <w:p>
            <w:r>
              <w:rPr>
                <w:rFonts w:ascii="Arial" w:hAnsi="Arial"/>
                <w:sz w:val="18"/>
              </w:rPr>
              <w:t>People Team</w:t>
            </w:r>
          </w:p>
        </w:tc>
        <w:tc>
          <w:tcPr>
            <w:tcW w:type="dxa" w:w="2736"/>
          </w:tcPr>
          <w:p>
            <w:r>
              <w:rPr>
                <w:rFonts w:ascii="Arial" w:hAnsi="Arial"/>
                <w:sz w:val="18"/>
              </w:rPr>
              <w:t>peopleteam@company.com</w:t>
            </w:r>
          </w:p>
        </w:tc>
      </w:tr>
    </w:tbl>
    <w:p/>
    <w:p>
      <w:pPr>
        <w:spacing w:before="120" w:after="40"/>
      </w:pPr>
      <w:r>
        <w:rPr>
          <w:b/>
          <w:color w:val="2C2C2C"/>
          <w:sz w:val="24"/>
        </w:rPr>
        <w:t>Policy summary</w:t>
      </w:r>
    </w:p>
    <w:p>
      <w:pPr>
        <w:spacing w:after="80" w:line="264" w:lineRule="auto"/>
      </w:pPr>
      <w:r>
        <w:t>This document sets the Pakistan standard for final pay, asset return, and separation policy. It should be applied consistently across Pakistan operations unless a written exception is approved through the Policy Exception, Approval, and Governance Framework. Related references include PK-HR-023, PK-HR-024, PK-HR-047.</w:t>
      </w:r>
    </w:p>
    <w:p>
      <w:pPr>
        <w:spacing w:before="120" w:after="40"/>
      </w:pPr>
      <w:r>
        <w:rPr>
          <w:b/>
          <w:color w:val="2C2C2C"/>
          <w:sz w:val="24"/>
        </w:rPr>
        <w:t>Separation settlement</w:t>
      </w:r>
    </w:p>
    <w:p>
      <w:pPr>
        <w:spacing w:after="80" w:line="264" w:lineRule="auto"/>
      </w:pPr>
      <w:r>
        <w:t>Final settlement includes unpaid salary up to the last working day, approved reimbursements that cleared in time, recoveries, leave encashment if applicable under company rules, and any other separation-related adjustments. The exact timing depends on notice completion, payroll cutoff, asset return, and completion of exit clearances.</w:t>
      </w:r>
    </w:p>
    <w:p>
      <w:pPr>
        <w:spacing w:after="80" w:line="264" w:lineRule="auto"/>
      </w:pPr>
      <w:r>
        <w:t>This policy is designed to make separation handling orderly and transparent without promising a universal timeline that may not fit every case.</w:t>
      </w:r>
    </w:p>
    <w:p>
      <w:pPr>
        <w:pStyle w:val="ListBullet"/>
        <w:spacing w:after="20"/>
      </w:pPr>
      <w:r>
        <w:t>Final pay is generally processed in the next regular payroll after all required clearances are complete, unless an earlier timeline is mandated by contract or applicable law.</w:t>
      </w:r>
    </w:p>
    <w:p>
      <w:pPr>
        <w:pStyle w:val="ListBullet"/>
        <w:spacing w:after="20"/>
      </w:pPr>
      <w:r>
        <w:t>Unreturned assets, unresolved cash advances, or incomplete records may delay final settlement to the extent permitted by law and company process.</w:t>
      </w:r>
    </w:p>
    <w:p>
      <w:pPr>
        <w:pStyle w:val="ListBullet"/>
        <w:spacing w:after="20"/>
      </w:pPr>
      <w:r>
        <w:t>The company may issue a service letter, experience letter, or tax/pay documentation after required approvals and record checks are complete.</w:t>
      </w:r>
    </w:p>
    <w:p>
      <w:pPr>
        <w:pStyle w:val="ListBullet"/>
        <w:spacing w:after="20"/>
      </w:pPr>
      <w:r>
        <w:t>Employees remain bound by confidentiality, intellectual property, and post-separation obligations stated in their employment documents.</w:t>
      </w:r>
    </w:p>
    <w:p>
      <w:pPr>
        <w:spacing w:before="120" w:after="40"/>
      </w:pPr>
      <w:r>
        <w:rPr>
          <w:b/>
          <w:color w:val="2C2C2C"/>
          <w:sz w:val="24"/>
        </w:rPr>
        <w:t>Examples and practical guidance</w:t>
      </w:r>
    </w:p>
    <w:p>
      <w:pPr>
        <w:spacing w:after="80" w:line="264" w:lineRule="auto"/>
      </w:pPr>
      <w:r>
        <w:t>Example: If an employee’s last day is the 10th of the month but the laptop is returned two weeks late, final settlement may move to the next feasible payroll once the clearance is completed.</w:t>
      </w:r>
    </w:p>
    <w:p>
      <w:pPr>
        <w:spacing w:after="80" w:line="264" w:lineRule="auto"/>
      </w:pPr>
      <w:r>
        <w:t>Example: If the employee has eligible unused annual leave for encashment under the applicable company rule, Payroll will calculate it in the separation settlement rather than as a casual manual payment.</w:t>
      </w:r>
    </w:p>
    <w:p>
      <w:pPr>
        <w:spacing w:before="120" w:after="40"/>
      </w:pPr>
      <w:r>
        <w:rPr>
          <w:b/>
          <w:color w:val="2C2C2C"/>
          <w:sz w:val="24"/>
        </w:rPr>
        <w:t>Questions and ownership</w:t>
      </w:r>
    </w:p>
    <w:p>
      <w:pPr>
        <w:spacing w:after="80" w:line="264" w:lineRule="auto"/>
      </w:pPr>
      <w:r>
        <w:t>Employees and managers should route questions about this policy to peopleteam@company.com.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PK-HR-048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