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Common Employee Questions and Contact Guide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PK-HR-049</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common employee questions and contact guide. It should be applied consistently across Pakistan operations unless a written exception is approved through the Policy Exception, Approval, and Governance Framework. Related references include PK-HR-011, PK-HR-016, PK-HR-023, PK-HR-034.</w:t>
      </w:r>
    </w:p>
    <w:p>
      <w:pPr>
        <w:spacing w:before="120" w:after="40"/>
      </w:pPr>
      <w:r>
        <w:rPr>
          <w:b/>
          <w:color w:val="2C2C2C"/>
          <w:sz w:val="24"/>
        </w:rPr>
        <w:t>Common questions</w:t>
      </w:r>
    </w:p>
    <w:p>
      <w:pPr>
        <w:spacing w:after="80" w:line="264" w:lineRule="auto"/>
      </w:pPr>
      <w:r>
        <w:t>This guide directs employees to the correct team for common questions. It is intended to reduce delay, conflicting advice, and repeated forwarding between teams. Employees should use the mailbox that best matches the subject and include enough detail for the receiving team to act.</w:t>
      </w:r>
    </w:p>
    <w:p>
      <w:pPr>
        <w:spacing w:after="80" w:line="264" w:lineRule="auto"/>
      </w:pPr>
      <w:r>
        <w:t>When writing in, include employee name, employee ID if available, office or city, the issue summary, relevant dates, and any supporting document or screenshot that will help the team understand the request.</w:t>
      </w:r>
    </w:p>
    <w:p>
      <w:pPr>
        <w:pStyle w:val="ListBullet"/>
        <w:spacing w:after="20"/>
      </w:pPr>
      <w:r>
        <w:t>peopleteam@company.com: conduct concerns, grievance questions, manager support, leave interpretation, employee records updates, and general people-policy guidance.</w:t>
      </w:r>
    </w:p>
    <w:p>
      <w:pPr>
        <w:pStyle w:val="ListBullet"/>
        <w:spacing w:after="20"/>
      </w:pPr>
      <w:r>
        <w:t>payroll@company.com: salary timing, payslip review, payroll correction, bank detail queries, reimbursements already approved for payment, and tax or certificate requests.</w:t>
      </w:r>
    </w:p>
    <w:p>
      <w:pPr>
        <w:pStyle w:val="ListBullet"/>
        <w:spacing w:after="20"/>
      </w:pPr>
      <w:r>
        <w:t>benefits@company.com: medical plan questions, dependent enrollment, claims support, wellness support, and benefit coverage start dates.</w:t>
      </w:r>
    </w:p>
    <w:p>
      <w:pPr>
        <w:pStyle w:val="ListBullet"/>
        <w:spacing w:after="20"/>
      </w:pPr>
      <w:r>
        <w:t>talentdevelopment@company.com: learning requests, internal mobility questions, career-development support, and training nominations.</w:t>
      </w:r>
    </w:p>
    <w:p>
      <w:pPr>
        <w:pStyle w:val="ListBullet"/>
        <w:spacing w:after="20"/>
      </w:pPr>
      <w:r>
        <w:t>onboarding@company.com: pre-joining documentation, joining-day coordination, probation tracking, and onboarding checklists.</w:t>
      </w:r>
    </w:p>
    <w:p>
      <w:pPr>
        <w:pStyle w:val="ListBullet"/>
        <w:spacing w:after="20"/>
      </w:pPr>
      <w:r>
        <w:t>compliance@company.com: protected reporting, whistleblower matters, conflict-of-interest disclosures, and policy exceptions needing compliance review.</w:t>
      </w:r>
    </w:p>
    <w:p>
      <w:pPr>
        <w:pStyle w:val="ListBullet"/>
        <w:spacing w:after="20"/>
      </w:pPr>
      <w:r>
        <w:t>recruitment@company.com: job postings, interview scheduling, candidate privacy questions, offer process, and hiring pipeline matters.</w:t>
      </w:r>
    </w:p>
    <w:p>
      <w:pPr>
        <w:pStyle w:val="ListBullet"/>
        <w:spacing w:after="20"/>
      </w:pPr>
      <w:r>
        <w:t>itsupport@company.com: account access, MFA, email issues, device problems, software access, and suspected security incidents.</w:t>
      </w:r>
    </w:p>
    <w:p>
      <w:pPr>
        <w:spacing w:before="120" w:after="40"/>
      </w:pPr>
      <w:r>
        <w:rPr>
          <w:b/>
          <w:color w:val="2C2C2C"/>
          <w:sz w:val="24"/>
        </w:rPr>
        <w:t>Examples and practical guidance</w:t>
      </w:r>
    </w:p>
    <w:p>
      <w:pPr>
        <w:spacing w:after="80" w:line="264" w:lineRule="auto"/>
      </w:pPr>
      <w:r>
        <w:t>Example: “My bank account changed and payroll is due next week” should go to payroll@company.com with the approved bank-update documents, not to a general HR inbox.</w:t>
      </w:r>
    </w:p>
    <w:p>
      <w:pPr>
        <w:spacing w:after="80" w:line="264" w:lineRule="auto"/>
      </w:pPr>
      <w:r>
        <w:t>Example: “I need to add my spouse to medical coverage after marriage” should go to benefits@company.com and should be raised within the life-event window with supporting documents.</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PK-HR-049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