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Arial" w:hAnsi="Arial"/>
          <w:b/>
          <w:color w:val="1C3F72"/>
          <w:sz w:val="36"/>
        </w:rPr>
        <w:t>Policy Exception, Approval, and Governance Framework</w:t>
      </w:r>
    </w:p>
    <w:p>
      <w:pPr>
        <w:jc w:val="left"/>
      </w:pPr>
      <w:r>
        <w:rPr>
          <w:i/>
          <w:color w:val="606060"/>
          <w:sz w:val="21"/>
        </w:rPr>
        <w:t>Pakistan Employee Policy</w:t>
      </w:r>
    </w:p>
    <w:tbl>
      <w:tblPr>
        <w:tblStyle w:val="TableGrid"/>
        <w:tblW w:type="auto" w:w="0"/>
        <w:tblLayout w:type="fixed"/>
        <w:tblLook w:firstColumn="1" w:firstRow="1" w:lastColumn="0" w:lastRow="0" w:noHBand="0" w:noVBand="1" w:val="04A0"/>
      </w:tblPr>
      <w:tblGrid>
        <w:gridCol w:w="2484"/>
        <w:gridCol w:w="2484"/>
        <w:gridCol w:w="2484"/>
        <w:gridCol w:w="2484"/>
      </w:tblGrid>
      <w:tr>
        <w:tc>
          <w:tcPr>
            <w:tcW w:type="dxa" w:w="2376"/>
            <w:shd w:fill="D9E6F2"/>
          </w:tcPr>
          <w:p>
            <w:r>
              <w:rPr>
                <w:rFonts w:ascii="Arial" w:hAnsi="Arial"/>
                <w:b/>
                <w:sz w:val="18"/>
              </w:rPr>
              <w:t>Document ID</w:t>
            </w:r>
          </w:p>
        </w:tc>
        <w:tc>
          <w:tcPr>
            <w:tcW w:type="dxa" w:w="2376"/>
            <w:shd w:fill="D9E6F2"/>
          </w:tcPr>
          <w:p>
            <w:r>
              <w:rPr>
                <w:rFonts w:ascii="Arial" w:hAnsi="Arial"/>
                <w:b/>
                <w:sz w:val="18"/>
              </w:rPr>
              <w:t>Country</w:t>
            </w:r>
          </w:p>
        </w:tc>
        <w:tc>
          <w:tcPr>
            <w:tcW w:type="dxa" w:w="2376"/>
            <w:shd w:fill="D9E6F2"/>
          </w:tcPr>
          <w:p>
            <w:r>
              <w:rPr>
                <w:rFonts w:ascii="Arial" w:hAnsi="Arial"/>
                <w:b/>
                <w:sz w:val="18"/>
              </w:rPr>
              <w:t>Owning Team</w:t>
            </w:r>
          </w:p>
        </w:tc>
        <w:tc>
          <w:tcPr>
            <w:tcW w:type="dxa" w:w="2736"/>
            <w:shd w:fill="D9E6F2"/>
          </w:tcPr>
          <w:p>
            <w:r>
              <w:rPr>
                <w:rFonts w:ascii="Arial" w:hAnsi="Arial"/>
                <w:b/>
                <w:sz w:val="18"/>
              </w:rPr>
              <w:t>Primary Contact</w:t>
            </w:r>
          </w:p>
        </w:tc>
      </w:tr>
      <w:tr>
        <w:tc>
          <w:tcPr>
            <w:tcW w:type="dxa" w:w="2376"/>
          </w:tcPr>
          <w:p>
            <w:r>
              <w:rPr>
                <w:rFonts w:ascii="Arial" w:hAnsi="Arial"/>
                <w:sz w:val="18"/>
              </w:rPr>
              <w:t>PK-HR-050</w:t>
            </w:r>
          </w:p>
        </w:tc>
        <w:tc>
          <w:tcPr>
            <w:tcW w:type="dxa" w:w="2376"/>
          </w:tcPr>
          <w:p>
            <w:r>
              <w:rPr>
                <w:rFonts w:ascii="Arial" w:hAnsi="Arial"/>
                <w:sz w:val="18"/>
              </w:rPr>
              <w:t>Pakistan</w:t>
            </w:r>
          </w:p>
        </w:tc>
        <w:tc>
          <w:tcPr>
            <w:tcW w:type="dxa" w:w="2376"/>
          </w:tcPr>
          <w:p>
            <w:r>
              <w:rPr>
                <w:rFonts w:ascii="Arial" w:hAnsi="Arial"/>
                <w:sz w:val="18"/>
              </w:rPr>
              <w:t>Compliance</w:t>
            </w:r>
          </w:p>
        </w:tc>
        <w:tc>
          <w:tcPr>
            <w:tcW w:type="dxa" w:w="2736"/>
          </w:tcPr>
          <w:p>
            <w:r>
              <w:rPr>
                <w:rFonts w:ascii="Arial" w:hAnsi="Arial"/>
                <w:sz w:val="18"/>
              </w:rPr>
              <w:t>compliance@company.com</w:t>
            </w:r>
          </w:p>
        </w:tc>
      </w:tr>
    </w:tbl>
    <w:p/>
    <w:p>
      <w:pPr>
        <w:spacing w:before="120" w:after="40"/>
      </w:pPr>
      <w:r>
        <w:rPr>
          <w:b/>
          <w:color w:val="2C2C2C"/>
          <w:sz w:val="24"/>
        </w:rPr>
        <w:t>Policy summary</w:t>
      </w:r>
    </w:p>
    <w:p>
      <w:pPr>
        <w:spacing w:after="80" w:line="264" w:lineRule="auto"/>
      </w:pPr>
      <w:r>
        <w:t>This document sets the Pakistan standard for policy exception, approval, and governance framework. It should be applied consistently across Pakistan operations unless a written exception is approved through the Policy Exception, Approval, and Governance Framework. Related references include PK-HR-004, PK-HR-006, PK-HR-026, PK-HR-049.</w:t>
      </w:r>
    </w:p>
    <w:p>
      <w:pPr>
        <w:spacing w:before="120" w:after="40"/>
      </w:pPr>
      <w:r>
        <w:rPr>
          <w:b/>
          <w:color w:val="2C2C2C"/>
          <w:sz w:val="24"/>
        </w:rPr>
        <w:t>Governance framework</w:t>
      </w:r>
    </w:p>
    <w:p>
      <w:pPr>
        <w:spacing w:after="80" w:line="264" w:lineRule="auto"/>
      </w:pPr>
      <w:r>
        <w:t>Policy exceptions are allowed only when there is a genuine business, legal, medical, security, or operational reason and when the risk of deviation has been reviewed by the right approvers. Exceptions are not meant to solve routine planning problems or to provide informal special treatment without documentation.</w:t>
      </w:r>
    </w:p>
    <w:p>
      <w:pPr>
        <w:spacing w:after="80" w:line="264" w:lineRule="auto"/>
      </w:pPr>
      <w:r>
        <w:t>This framework exists because inconsistent exceptions are a common source of employee mistrust and audit risk.</w:t>
      </w:r>
    </w:p>
    <w:p>
      <w:pPr>
        <w:pStyle w:val="ListBullet"/>
        <w:spacing w:after="20"/>
      </w:pPr>
      <w:r>
        <w:t>Every exception request must describe the rule involved, the reason the exception is needed, the duration, the people affected, and the controls that will reduce risk.</w:t>
      </w:r>
    </w:p>
    <w:p>
      <w:pPr>
        <w:pStyle w:val="ListBullet"/>
        <w:spacing w:after="20"/>
      </w:pPr>
      <w:r>
        <w:t>Short-term exceptions should have an end date and should not quietly become permanent practice without review.</w:t>
      </w:r>
    </w:p>
    <w:p>
      <w:pPr>
        <w:pStyle w:val="ListBullet"/>
        <w:spacing w:after="20"/>
      </w:pPr>
      <w:r>
        <w:t>Approvals vary by subject matter but may require the functional owner, People Team, Payroll, Benefits, IT Support, Recruitment, or Compliance depending on the topic.</w:t>
      </w:r>
    </w:p>
    <w:p>
      <w:pPr>
        <w:pStyle w:val="ListBullet"/>
        <w:spacing w:after="20"/>
      </w:pPr>
      <w:r>
        <w:t>Compliance review is mandatory for protected-reporting matters, conflict concerns, certain data/privacy issues, and high-risk deviations from policy or control requirements.</w:t>
      </w:r>
    </w:p>
    <w:p>
      <w:pPr>
        <w:spacing w:before="120" w:after="40"/>
      </w:pPr>
      <w:r>
        <w:rPr>
          <w:b/>
          <w:color w:val="2C2C2C"/>
          <w:sz w:val="24"/>
        </w:rPr>
        <w:t>Examples and practical guidance</w:t>
      </w:r>
    </w:p>
    <w:p>
      <w:pPr>
        <w:spacing w:after="80" w:line="264" w:lineRule="auto"/>
      </w:pPr>
      <w:r>
        <w:t>Example: A temporary remote-work exception before confirmation may be approved for medical recovery if the manager, People Team, and IT security requirements are aligned.</w:t>
      </w:r>
    </w:p>
    <w:p>
      <w:pPr>
        <w:spacing w:after="80" w:line="264" w:lineRule="auto"/>
      </w:pPr>
      <w:r>
        <w:t>Example: A request to reimburse an expense with no receipt should not be approved casually; the approver must document the reason, evidence, and control rationale if an exception is granted.</w:t>
      </w:r>
    </w:p>
    <w:p>
      <w:pPr>
        <w:spacing w:before="120" w:after="40"/>
      </w:pPr>
      <w:r>
        <w:rPr>
          <w:b/>
          <w:color w:val="2C2C2C"/>
          <w:sz w:val="24"/>
        </w:rPr>
        <w:t>Questions and ownership</w:t>
      </w:r>
    </w:p>
    <w:p>
      <w:pPr>
        <w:spacing w:after="80" w:line="264" w:lineRule="auto"/>
      </w:pPr>
      <w:r>
        <w:t>Employees and managers should route questions about this policy to compliance@company.com. Where an issue also involves payroll, benefits, recruitment, onboarding, compliance, talent development, or IT access, the receiving team may coordinate with the relevant function before confirming the final response.</w:t>
      </w:r>
    </w:p>
    <w:p>
      <w:pPr>
        <w:spacing w:after="80" w:line="264" w:lineRule="auto"/>
      </w:pPr>
      <w:r>
        <w:t>This policy may be updated from time to time to reflect business requirements, vendor changes, process improvements, or applicable legal considerations. Employees are expected to follow the latest approved version circulated by the company.</w:t>
      </w:r>
    </w:p>
    <w:sectPr w:rsidR="00FC693F" w:rsidRPr="0006063C" w:rsidSect="00034616">
      <w:footerReference w:type="default" r:id="rId9"/>
      <w:pgSz w:w="12240" w:h="15840"/>
      <w:pgMar w:top="1008" w:right="1152" w:bottom="864"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t>PK-HR-050 | Pakistan</w:t>
    </w:r>
  </w:p>
  <w:p>
    <w:pPr>
      <w:jc w:val="right"/>
    </w:pPr>
    <w:r>
      <w:t xml:space="preserve">Page </w:t>
    </w: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