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Data Analyst</w:t>
      </w:r>
    </w:p>
    <w:p>
      <w:pPr>
        <w:pStyle w:val="DocSubtitle"/>
      </w:pPr>
      <w:r>
        <w:t>Pakistan | Job family: Data &amp; Analytics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Data Analyst job family. It clarifies how analytical work grows from recurring reporting and metric support into end-to-end analytical leadership, enterprise decision support, and standards-setting influence.</w:t>
      </w:r>
    </w:p>
    <w:p>
      <w:pPr>
        <w:pStyle w:val="Compact"/>
      </w:pPr>
      <w:r>
        <w:rPr>
          <w:b/>
        </w:rPr>
        <w:t xml:space="preserve">Country context. </w:t>
      </w:r>
      <w:r>
        <w:t>Career growth in Pakistan often rewards reliable execution, strong documentation, and proactive collaboration in distributed teams. Employees are expected to raise risks early, maintain delivery discipline, and build trust through consistency and accountability.</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DA1</w:t>
            </w:r>
          </w:p>
        </w:tc>
        <w:tc>
          <w:tcPr>
            <w:tcW w:type="dxa" w:w="2376"/>
            <w:tcMar>
              <w:top w:w="90" w:type="dxa"/>
              <w:start w:w="100" w:type="dxa"/>
              <w:bottom w:w="90" w:type="dxa"/>
              <w:end w:w="100" w:type="dxa"/>
            </w:tcMar>
            <w:vAlign w:val="center"/>
          </w:tcPr>
          <w:p>
            <w:pPr>
              <w:jc w:val="left"/>
            </w:pPr>
            <w:r>
              <w:rPr>
                <w:sz w:val="18"/>
              </w:rPr>
              <w:t>Data Analyst I</w:t>
            </w:r>
          </w:p>
        </w:tc>
        <w:tc>
          <w:tcPr>
            <w:tcW w:type="dxa" w:w="3528"/>
            <w:tcMar>
              <w:top w:w="90" w:type="dxa"/>
              <w:start w:w="100" w:type="dxa"/>
              <w:bottom w:w="90" w:type="dxa"/>
              <w:end w:w="100" w:type="dxa"/>
            </w:tcMar>
            <w:vAlign w:val="center"/>
          </w:tcPr>
          <w:p>
            <w:pPr>
              <w:jc w:val="left"/>
            </w:pPr>
            <w:r>
              <w:rPr>
                <w:sz w:val="18"/>
              </w:rPr>
              <w:t>Delivers recurring reports and basic analysis under guidance.</w:t>
            </w:r>
          </w:p>
        </w:tc>
        <w:tc>
          <w:tcPr>
            <w:tcW w:type="dxa" w:w="2880"/>
            <w:tcMar>
              <w:top w:w="90" w:type="dxa"/>
              <w:start w:w="100" w:type="dxa"/>
              <w:bottom w:w="90" w:type="dxa"/>
              <w:end w:w="100" w:type="dxa"/>
            </w:tcMar>
            <w:vAlign w:val="center"/>
          </w:tcPr>
          <w:p>
            <w:pPr>
              <w:jc w:val="left"/>
            </w:pPr>
            <w:r>
              <w:rPr>
                <w:sz w:val="18"/>
              </w:rPr>
              <w:t>Works from defined requirements and escalates ambiguity early.</w:t>
            </w:r>
          </w:p>
        </w:tc>
      </w:tr>
      <w:tr>
        <w:tc>
          <w:tcPr>
            <w:tcW w:type="dxa" w:w="1080"/>
            <w:tcMar>
              <w:top w:w="90" w:type="dxa"/>
              <w:start w:w="100" w:type="dxa"/>
              <w:bottom w:w="90" w:type="dxa"/>
              <w:end w:w="100" w:type="dxa"/>
            </w:tcMar>
            <w:vAlign w:val="center"/>
          </w:tcPr>
          <w:p>
            <w:pPr>
              <w:jc w:val="center"/>
            </w:pPr>
            <w:r>
              <w:rPr>
                <w:sz w:val="18"/>
              </w:rPr>
              <w:t>DA2</w:t>
            </w:r>
          </w:p>
        </w:tc>
        <w:tc>
          <w:tcPr>
            <w:tcW w:type="dxa" w:w="2376"/>
            <w:tcMar>
              <w:top w:w="90" w:type="dxa"/>
              <w:start w:w="100" w:type="dxa"/>
              <w:bottom w:w="90" w:type="dxa"/>
              <w:end w:w="100" w:type="dxa"/>
            </w:tcMar>
            <w:vAlign w:val="center"/>
          </w:tcPr>
          <w:p>
            <w:pPr>
              <w:jc w:val="left"/>
            </w:pPr>
            <w:r>
              <w:rPr>
                <w:sz w:val="18"/>
              </w:rPr>
              <w:t>Data Analyst II</w:t>
            </w:r>
          </w:p>
        </w:tc>
        <w:tc>
          <w:tcPr>
            <w:tcW w:type="dxa" w:w="3528"/>
            <w:tcMar>
              <w:top w:w="90" w:type="dxa"/>
              <w:start w:w="100" w:type="dxa"/>
              <w:bottom w:w="90" w:type="dxa"/>
              <w:end w:w="100" w:type="dxa"/>
            </w:tcMar>
            <w:vAlign w:val="center"/>
          </w:tcPr>
          <w:p>
            <w:pPr>
              <w:jc w:val="left"/>
            </w:pPr>
            <w:r>
              <w:rPr>
                <w:sz w:val="18"/>
              </w:rPr>
              <w:t>Owns reporting areas, data quality checks, and stakeholder-ready analysis.</w:t>
            </w:r>
          </w:p>
        </w:tc>
        <w:tc>
          <w:tcPr>
            <w:tcW w:type="dxa" w:w="2880"/>
            <w:tcMar>
              <w:top w:w="90" w:type="dxa"/>
              <w:start w:w="100" w:type="dxa"/>
              <w:bottom w:w="90" w:type="dxa"/>
              <w:end w:w="100" w:type="dxa"/>
            </w:tcMar>
            <w:vAlign w:val="center"/>
          </w:tcPr>
          <w:p>
            <w:pPr>
              <w:jc w:val="left"/>
            </w:pPr>
            <w:r>
              <w:rPr>
                <w:sz w:val="18"/>
              </w:rPr>
              <w:t>Translates business questions into datasets, metrics, and dashboards.</w:t>
            </w:r>
          </w:p>
        </w:tc>
      </w:tr>
      <w:tr>
        <w:tc>
          <w:tcPr>
            <w:tcW w:type="dxa" w:w="1080"/>
            <w:tcMar>
              <w:top w:w="90" w:type="dxa"/>
              <w:start w:w="100" w:type="dxa"/>
              <w:bottom w:w="90" w:type="dxa"/>
              <w:end w:w="100" w:type="dxa"/>
            </w:tcMar>
            <w:vAlign w:val="center"/>
          </w:tcPr>
          <w:p>
            <w:pPr>
              <w:jc w:val="center"/>
            </w:pPr>
            <w:r>
              <w:rPr>
                <w:sz w:val="18"/>
              </w:rPr>
              <w:t>DA3</w:t>
            </w:r>
          </w:p>
        </w:tc>
        <w:tc>
          <w:tcPr>
            <w:tcW w:type="dxa" w:w="2376"/>
            <w:tcMar>
              <w:top w:w="90" w:type="dxa"/>
              <w:start w:w="100" w:type="dxa"/>
              <w:bottom w:w="90" w:type="dxa"/>
              <w:end w:w="100" w:type="dxa"/>
            </w:tcMar>
            <w:vAlign w:val="center"/>
          </w:tcPr>
          <w:p>
            <w:pPr>
              <w:jc w:val="left"/>
            </w:pPr>
            <w:r>
              <w:rPr>
                <w:sz w:val="18"/>
              </w:rPr>
              <w:t>Senior Data Analyst</w:t>
            </w:r>
          </w:p>
        </w:tc>
        <w:tc>
          <w:tcPr>
            <w:tcW w:type="dxa" w:w="3528"/>
            <w:tcMar>
              <w:top w:w="90" w:type="dxa"/>
              <w:start w:w="100" w:type="dxa"/>
              <w:bottom w:w="90" w:type="dxa"/>
              <w:end w:w="100" w:type="dxa"/>
            </w:tcMar>
            <w:vAlign w:val="center"/>
          </w:tcPr>
          <w:p>
            <w:pPr>
              <w:jc w:val="left"/>
            </w:pPr>
            <w:r>
              <w:rPr>
                <w:sz w:val="18"/>
              </w:rPr>
              <w:t>Leads analytical workstreams and improves metric definitions across teams.</w:t>
            </w:r>
          </w:p>
        </w:tc>
        <w:tc>
          <w:tcPr>
            <w:tcW w:type="dxa" w:w="2880"/>
            <w:tcMar>
              <w:top w:w="90" w:type="dxa"/>
              <w:start w:w="100" w:type="dxa"/>
              <w:bottom w:w="90" w:type="dxa"/>
              <w:end w:w="100" w:type="dxa"/>
            </w:tcMar>
            <w:vAlign w:val="center"/>
          </w:tcPr>
          <w:p>
            <w:pPr>
              <w:jc w:val="left"/>
            </w:pPr>
            <w:r>
              <w:rPr>
                <w:sz w:val="18"/>
              </w:rPr>
              <w:t>Frames decision options, challenges assumptions, and mentors junior analysts.</w:t>
            </w:r>
          </w:p>
        </w:tc>
      </w:tr>
      <w:tr>
        <w:tc>
          <w:tcPr>
            <w:tcW w:type="dxa" w:w="1080"/>
            <w:tcMar>
              <w:top w:w="90" w:type="dxa"/>
              <w:start w:w="100" w:type="dxa"/>
              <w:bottom w:w="90" w:type="dxa"/>
              <w:end w:w="100" w:type="dxa"/>
            </w:tcMar>
            <w:vAlign w:val="center"/>
          </w:tcPr>
          <w:p>
            <w:pPr>
              <w:jc w:val="center"/>
            </w:pPr>
            <w:r>
              <w:rPr>
                <w:sz w:val="18"/>
              </w:rPr>
              <w:t>DA4</w:t>
            </w:r>
          </w:p>
        </w:tc>
        <w:tc>
          <w:tcPr>
            <w:tcW w:type="dxa" w:w="2376"/>
            <w:tcMar>
              <w:top w:w="90" w:type="dxa"/>
              <w:start w:w="100" w:type="dxa"/>
              <w:bottom w:w="90" w:type="dxa"/>
              <w:end w:w="100" w:type="dxa"/>
            </w:tcMar>
            <w:vAlign w:val="center"/>
          </w:tcPr>
          <w:p>
            <w:pPr>
              <w:jc w:val="left"/>
            </w:pPr>
            <w:r>
              <w:rPr>
                <w:sz w:val="18"/>
              </w:rPr>
              <w:t>Lead Data Analyst</w:t>
            </w:r>
          </w:p>
        </w:tc>
        <w:tc>
          <w:tcPr>
            <w:tcW w:type="dxa" w:w="3528"/>
            <w:tcMar>
              <w:top w:w="90" w:type="dxa"/>
              <w:start w:w="100" w:type="dxa"/>
              <w:bottom w:w="90" w:type="dxa"/>
              <w:end w:w="100" w:type="dxa"/>
            </w:tcMar>
            <w:vAlign w:val="center"/>
          </w:tcPr>
          <w:p>
            <w:pPr>
              <w:jc w:val="left"/>
            </w:pPr>
            <w:r>
              <w:rPr>
                <w:sz w:val="18"/>
              </w:rPr>
              <w:t>Sets standards for instrumentation, KPI design, and cross-functional analytics programs.</w:t>
            </w:r>
          </w:p>
        </w:tc>
        <w:tc>
          <w:tcPr>
            <w:tcW w:type="dxa" w:w="2880"/>
            <w:tcMar>
              <w:top w:w="90" w:type="dxa"/>
              <w:start w:w="100" w:type="dxa"/>
              <w:bottom w:w="90" w:type="dxa"/>
              <w:end w:w="100" w:type="dxa"/>
            </w:tcMar>
            <w:vAlign w:val="center"/>
          </w:tcPr>
          <w:p>
            <w:pPr>
              <w:jc w:val="left"/>
            </w:pPr>
            <w:r>
              <w:rPr>
                <w:sz w:val="18"/>
              </w:rPr>
              <w:t>Aligns leaders on metric tradeoffs and drives adoption of analytical practices.</w:t>
            </w:r>
          </w:p>
        </w:tc>
      </w:tr>
      <w:tr>
        <w:tc>
          <w:tcPr>
            <w:tcW w:type="dxa" w:w="1080"/>
            <w:tcMar>
              <w:top w:w="90" w:type="dxa"/>
              <w:start w:w="100" w:type="dxa"/>
              <w:bottom w:w="90" w:type="dxa"/>
              <w:end w:w="100" w:type="dxa"/>
            </w:tcMar>
            <w:vAlign w:val="center"/>
          </w:tcPr>
          <w:p>
            <w:pPr>
              <w:jc w:val="center"/>
            </w:pPr>
            <w:r>
              <w:rPr>
                <w:sz w:val="18"/>
              </w:rPr>
              <w:t>DA5</w:t>
            </w:r>
          </w:p>
        </w:tc>
        <w:tc>
          <w:tcPr>
            <w:tcW w:type="dxa" w:w="2376"/>
            <w:tcMar>
              <w:top w:w="90" w:type="dxa"/>
              <w:start w:w="100" w:type="dxa"/>
              <w:bottom w:w="90" w:type="dxa"/>
              <w:end w:w="100" w:type="dxa"/>
            </w:tcMar>
            <w:vAlign w:val="center"/>
          </w:tcPr>
          <w:p>
            <w:pPr>
              <w:jc w:val="left"/>
            </w:pPr>
            <w:r>
              <w:rPr>
                <w:sz w:val="18"/>
              </w:rPr>
              <w:t>Principal Data Analyst</w:t>
            </w:r>
          </w:p>
        </w:tc>
        <w:tc>
          <w:tcPr>
            <w:tcW w:type="dxa" w:w="3528"/>
            <w:tcMar>
              <w:top w:w="90" w:type="dxa"/>
              <w:start w:w="100" w:type="dxa"/>
              <w:bottom w:w="90" w:type="dxa"/>
              <w:end w:w="100" w:type="dxa"/>
            </w:tcMar>
            <w:vAlign w:val="center"/>
          </w:tcPr>
          <w:p>
            <w:pPr>
              <w:jc w:val="left"/>
            </w:pPr>
            <w:r>
              <w:rPr>
                <w:sz w:val="18"/>
              </w:rPr>
              <w:t>Shapes enterprise measurement strategy and high-impact analytical decisions.</w:t>
            </w:r>
          </w:p>
        </w:tc>
        <w:tc>
          <w:tcPr>
            <w:tcW w:type="dxa" w:w="2880"/>
            <w:tcMar>
              <w:top w:w="90" w:type="dxa"/>
              <w:start w:w="100" w:type="dxa"/>
              <w:bottom w:w="90" w:type="dxa"/>
              <w:end w:w="100" w:type="dxa"/>
            </w:tcMar>
            <w:vAlign w:val="center"/>
          </w:tcPr>
          <w:p>
            <w:pPr>
              <w:jc w:val="left"/>
            </w:pPr>
            <w:r>
              <w:rPr>
                <w:sz w:val="18"/>
              </w:rPr>
              <w:t>Influences operating models and analytical direction across multiple functions.</w:t>
            </w:r>
          </w:p>
        </w:tc>
      </w:tr>
    </w:tbl>
    <w:p>
      <w:pPr>
        <w:pStyle w:val="SectionHeading"/>
      </w:pPr>
      <w:r>
        <w:t>Core dimensions used in level calibration</w:t>
      </w:r>
    </w:p>
    <w:p>
      <w:pPr>
        <w:pStyle w:val="Compact"/>
      </w:pPr>
      <w:r>
        <w:rPr>
          <w:b/>
        </w:rPr>
        <w:t xml:space="preserve">Analytical problem solving: </w:t>
      </w:r>
      <w:r>
        <w:t>Frames business questions, selects the right level of analysis, and distinguishes between signal and noise.</w:t>
      </w:r>
    </w:p>
    <w:p>
      <w:pPr>
        <w:pStyle w:val="Compact"/>
      </w:pPr>
      <w:r>
        <w:rPr>
          <w:b/>
        </w:rPr>
        <w:t xml:space="preserve">Data quality and metrics stewardship: </w:t>
      </w:r>
      <w:r>
        <w:t>Maintains trustworthy datasets, definitions, reconciliations, and dashboard standards.</w:t>
      </w:r>
    </w:p>
    <w:p>
      <w:pPr>
        <w:pStyle w:val="Compact"/>
      </w:pPr>
      <w:r>
        <w:rPr>
          <w:b/>
        </w:rPr>
        <w:t xml:space="preserve">Stakeholder partnership: </w:t>
      </w:r>
      <w:r>
        <w:t>Builds decision-ready outputs and communicates assumptions, tradeoffs, and limitations clearly.</w:t>
      </w:r>
    </w:p>
    <w:p>
      <w:pPr>
        <w:pStyle w:val="Compact"/>
      </w:pPr>
      <w:r>
        <w:rPr>
          <w:b/>
        </w:rPr>
        <w:t xml:space="preserve">Automation and scale: </w:t>
      </w:r>
      <w:r>
        <w:t>Reduces manual work, improves repeatability, and creates reusable analytical assets.</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is demonstrated when the analyst moves from answering known questions to surfacing the questions leadership should be asking.</w:t>
      </w:r>
    </w:p>
    <w:p>
      <w:pPr>
        <w:pStyle w:val="BulletBody"/>
      </w:pPr>
      <w:r>
        <w:t xml:space="preserve">• </w:t>
      </w:r>
      <w:r>
        <w:t>Advancement also requires judgment about data quality, business context, and the consequences of metric changes.</w:t>
      </w:r>
    </w:p>
    <w:p>
      <w:pPr>
        <w:pStyle w:val="BulletBody"/>
      </w:pPr>
      <w:r>
        <w:t xml:space="preserve">• </w:t>
      </w:r>
      <w:r>
        <w:t>Higher levels are expected to improve the analytical system itself, not just produce more reports.</w:t>
      </w:r>
    </w:p>
    <w:p>
      <w:pPr>
        <w:pStyle w:val="BulletBody"/>
      </w:pPr>
      <w:r>
        <w:t xml:space="preserve">• </w:t>
      </w:r>
      <w:r>
        <w:t>Strong written and spoken English is often important because many teams collaborate across regions. Local language use may support in-country coordination, but progression standards remain role-based and impact-based.</w:t>
      </w:r>
    </w:p>
    <w:p>
      <w:pPr>
        <w:pStyle w:val="BulletBody"/>
      </w:pPr>
      <w:r>
        <w:t xml:space="preserve">• </w:t>
      </w:r>
      <w:r>
        <w:t>Local hiring labels can vary by team. Internal career movement should continue to use consistent scope and performance expectations across functions.</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DA1 — Data Analyst I. </w:t>
      </w:r>
      <w:r>
        <w:t>Builds confidence in fundamentals such as data joins, quality checks, accurate recurring reporting, and concise stakeholder updates.</w:t>
      </w:r>
    </w:p>
    <w:p>
      <w:pPr>
        <w:pStyle w:val="Compact"/>
      </w:pPr>
      <w:r>
        <w:rPr>
          <w:b/>
        </w:rPr>
        <w:t xml:space="preserve">DA2 — Data Analyst II. </w:t>
      </w:r>
      <w:r>
        <w:t>Moves beyond report execution into problem framing, dashboard ownership, and proactive follow-up on metric anomalies.</w:t>
      </w:r>
    </w:p>
    <w:p>
      <w:pPr>
        <w:pStyle w:val="Compact"/>
      </w:pPr>
      <w:r>
        <w:rPr>
          <w:b/>
        </w:rPr>
        <w:t xml:space="preserve">DA3 — Senior Data Analyst. </w:t>
      </w:r>
      <w:r>
        <w:t>Provides analytical leadership on ambiguous questions, influences priorities, and helps teams stop using weak or conflicting metrics.</w:t>
      </w:r>
    </w:p>
    <w:p>
      <w:pPr>
        <w:pStyle w:val="Compact"/>
      </w:pPr>
      <w:r>
        <w:rPr>
          <w:b/>
        </w:rPr>
        <w:t xml:space="preserve">DA4 — Lead Data Analyst. </w:t>
      </w:r>
      <w:r>
        <w:t>Creates common definitions, review cadences, and analytical guardrails adopted by multiple teams.</w:t>
      </w:r>
    </w:p>
    <w:p>
      <w:pPr>
        <w:pStyle w:val="Compact"/>
      </w:pPr>
      <w:r>
        <w:rPr>
          <w:b/>
        </w:rPr>
        <w:t xml:space="preserve">DA5 — Principal Data Analyst. </w:t>
      </w:r>
      <w:r>
        <w:t>Shapes the enterprise measurement system, influences senior leaders, and creates durable analytical leverage.</w:t>
      </w:r>
    </w:p>
    <w:p>
      <w:pPr>
        <w:pStyle w:val="SectionHeading"/>
      </w:pPr>
      <w:r>
        <w:t>Illustrative examples in this country context</w:t>
      </w:r>
    </w:p>
    <w:p>
      <w:pPr>
        <w:pStyle w:val="BulletBody"/>
      </w:pPr>
      <w:r>
        <w:t xml:space="preserve">• </w:t>
      </w:r>
      <w:r>
        <w:t>A Business Analyst I may document an as-is process, clarify approval gaps, and support a team lead in translating them into structured requirements.</w:t>
      </w:r>
    </w:p>
    <w:p>
      <w:pPr>
        <w:pStyle w:val="BulletBody"/>
      </w:pPr>
      <w:r>
        <w:t xml:space="preserve">• </w:t>
      </w:r>
      <w:r>
        <w:t>A Senior Software Engineer may lead a major service hardening effort and coach engineers on root-cause analysis and runbook quality.</w:t>
      </w:r>
    </w:p>
    <w:p>
      <w:pPr>
        <w:pStyle w:val="BulletBody"/>
      </w:pPr>
      <w:r>
        <w:t xml:space="preserve">• </w:t>
      </w:r>
      <w:r>
        <w:t>A Data Analyst II may improve recurring leadership reporting by standardizing data checks and reducing last-minute manual corrections.</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Examples of recurring reports improved through automation or better controls</w:t>
      </w:r>
    </w:p>
    <w:p>
      <w:pPr>
        <w:pStyle w:val="BulletBody"/>
      </w:pPr>
      <w:r>
        <w:t xml:space="preserve">• </w:t>
      </w:r>
      <w:r>
        <w:t>Clear documentation of KPI definitions and changes</w:t>
      </w:r>
    </w:p>
    <w:p>
      <w:pPr>
        <w:pStyle w:val="BulletBody"/>
      </w:pPr>
      <w:r>
        <w:t xml:space="preserve">• </w:t>
      </w:r>
      <w:r>
        <w:t>Decisions influenced by analysis, including what options were considered</w:t>
      </w:r>
    </w:p>
    <w:p>
      <w:pPr>
        <w:pStyle w:val="BulletBody"/>
      </w:pPr>
      <w:r>
        <w:t xml:space="preserve">• </w:t>
      </w:r>
      <w:r>
        <w:t>Mentoring, peer review, and quality improvements adopted by others</w:t>
      </w:r>
    </w:p>
    <w:p>
      <w:pPr>
        <w:pStyle w:val="Compact"/>
      </w:pPr>
      <w:r>
        <w:rPr>
          <w:b/>
        </w:rPr>
        <w:t xml:space="preserve">Internal mobility. </w:t>
      </w:r>
      <w:r>
        <w:t>Employees may move between analytics domains such as product analytics, operations analytics, finance analytics, or people analytics when they demonstrate transferable analytical reasoning, data stewardship, and stakeholder management.</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Pakistan Career Architecture | Career Architecture - Data Analyst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