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Engineering Manager</w:t>
      </w:r>
    </w:p>
    <w:p>
      <w:pPr>
        <w:pStyle w:val="DocSubtitle"/>
      </w:pPr>
      <w:r>
        <w:t>Pakistan | Job family: Engineering Management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Engineering Manager job family. It covers team leadership, delivery management, talent development, technical stewardship, and the operating mechanisms required to scale engineering performance through people.</w:t>
      </w:r>
    </w:p>
    <w:p>
      <w:pPr>
        <w:pStyle w:val="Compact"/>
      </w:pPr>
      <w:r>
        <w:rPr>
          <w:b/>
        </w:rPr>
        <w:t xml:space="preserve">Country context. </w:t>
      </w:r>
      <w:r>
        <w:t>Career growth in Pakistan often rewards reliable execution, strong documentation, and proactive collaboration in distributed teams. Employees are expected to raise risks early, maintain delivery discipline, and build trust through consistency and accountability.</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EM1</w:t>
            </w:r>
          </w:p>
        </w:tc>
        <w:tc>
          <w:tcPr>
            <w:tcW w:type="dxa" w:w="2376"/>
            <w:tcMar>
              <w:top w:w="90" w:type="dxa"/>
              <w:start w:w="100" w:type="dxa"/>
              <w:bottom w:w="90" w:type="dxa"/>
              <w:end w:w="100" w:type="dxa"/>
            </w:tcMar>
            <w:vAlign w:val="center"/>
          </w:tcPr>
          <w:p>
            <w:pPr>
              <w:jc w:val="left"/>
            </w:pPr>
            <w:r>
              <w:rPr>
                <w:sz w:val="18"/>
              </w:rPr>
              <w:t>Engineering Manager I</w:t>
            </w:r>
          </w:p>
        </w:tc>
        <w:tc>
          <w:tcPr>
            <w:tcW w:type="dxa" w:w="3528"/>
            <w:tcMar>
              <w:top w:w="90" w:type="dxa"/>
              <w:start w:w="100" w:type="dxa"/>
              <w:bottom w:w="90" w:type="dxa"/>
              <w:end w:w="100" w:type="dxa"/>
            </w:tcMar>
            <w:vAlign w:val="center"/>
          </w:tcPr>
          <w:p>
            <w:pPr>
              <w:jc w:val="left"/>
            </w:pPr>
            <w:r>
              <w:rPr>
                <w:sz w:val="18"/>
              </w:rPr>
              <w:t>Leads one team, plans delivery, and manages performance fundamentals.</w:t>
            </w:r>
          </w:p>
        </w:tc>
        <w:tc>
          <w:tcPr>
            <w:tcW w:type="dxa" w:w="2880"/>
            <w:tcMar>
              <w:top w:w="90" w:type="dxa"/>
              <w:start w:w="100" w:type="dxa"/>
              <w:bottom w:w="90" w:type="dxa"/>
              <w:end w:w="100" w:type="dxa"/>
            </w:tcMar>
            <w:vAlign w:val="center"/>
          </w:tcPr>
          <w:p>
            <w:pPr>
              <w:jc w:val="left"/>
            </w:pPr>
            <w:r>
              <w:rPr>
                <w:sz w:val="18"/>
              </w:rPr>
              <w:t>Builds a healthy execution cadence, role clarity, and basic talent practices.</w:t>
            </w:r>
          </w:p>
        </w:tc>
      </w:tr>
      <w:tr>
        <w:tc>
          <w:tcPr>
            <w:tcW w:type="dxa" w:w="1080"/>
            <w:tcMar>
              <w:top w:w="90" w:type="dxa"/>
              <w:start w:w="100" w:type="dxa"/>
              <w:bottom w:w="90" w:type="dxa"/>
              <w:end w:w="100" w:type="dxa"/>
            </w:tcMar>
            <w:vAlign w:val="center"/>
          </w:tcPr>
          <w:p>
            <w:pPr>
              <w:jc w:val="center"/>
            </w:pPr>
            <w:r>
              <w:rPr>
                <w:sz w:val="18"/>
              </w:rPr>
              <w:t>EM2</w:t>
            </w:r>
          </w:p>
        </w:tc>
        <w:tc>
          <w:tcPr>
            <w:tcW w:type="dxa" w:w="2376"/>
            <w:tcMar>
              <w:top w:w="90" w:type="dxa"/>
              <w:start w:w="100" w:type="dxa"/>
              <w:bottom w:w="90" w:type="dxa"/>
              <w:end w:w="100" w:type="dxa"/>
            </w:tcMar>
            <w:vAlign w:val="center"/>
          </w:tcPr>
          <w:p>
            <w:pPr>
              <w:jc w:val="left"/>
            </w:pPr>
            <w:r>
              <w:rPr>
                <w:sz w:val="18"/>
              </w:rPr>
              <w:t>Engineering Manager II</w:t>
            </w:r>
          </w:p>
        </w:tc>
        <w:tc>
          <w:tcPr>
            <w:tcW w:type="dxa" w:w="3528"/>
            <w:tcMar>
              <w:top w:w="90" w:type="dxa"/>
              <w:start w:w="100" w:type="dxa"/>
              <w:bottom w:w="90" w:type="dxa"/>
              <w:end w:w="100" w:type="dxa"/>
            </w:tcMar>
            <w:vAlign w:val="center"/>
          </w:tcPr>
          <w:p>
            <w:pPr>
              <w:jc w:val="left"/>
            </w:pPr>
            <w:r>
              <w:rPr>
                <w:sz w:val="18"/>
              </w:rPr>
              <w:t>Leads multiple pods or a larger team through scope, quality, and staffing decisions.</w:t>
            </w:r>
          </w:p>
        </w:tc>
        <w:tc>
          <w:tcPr>
            <w:tcW w:type="dxa" w:w="2880"/>
            <w:tcMar>
              <w:top w:w="90" w:type="dxa"/>
              <w:start w:w="100" w:type="dxa"/>
              <w:bottom w:w="90" w:type="dxa"/>
              <w:end w:w="100" w:type="dxa"/>
            </w:tcMar>
            <w:vAlign w:val="center"/>
          </w:tcPr>
          <w:p>
            <w:pPr>
              <w:jc w:val="left"/>
            </w:pPr>
            <w:r>
              <w:rPr>
                <w:sz w:val="18"/>
              </w:rPr>
              <w:t>Balances delivery with architecture, people development, and stakeholder trust.</w:t>
            </w:r>
          </w:p>
        </w:tc>
      </w:tr>
      <w:tr>
        <w:tc>
          <w:tcPr>
            <w:tcW w:type="dxa" w:w="1080"/>
            <w:tcMar>
              <w:top w:w="90" w:type="dxa"/>
              <w:start w:w="100" w:type="dxa"/>
              <w:bottom w:w="90" w:type="dxa"/>
              <w:end w:w="100" w:type="dxa"/>
            </w:tcMar>
            <w:vAlign w:val="center"/>
          </w:tcPr>
          <w:p>
            <w:pPr>
              <w:jc w:val="center"/>
            </w:pPr>
            <w:r>
              <w:rPr>
                <w:sz w:val="18"/>
              </w:rPr>
              <w:t>EM3</w:t>
            </w:r>
          </w:p>
        </w:tc>
        <w:tc>
          <w:tcPr>
            <w:tcW w:type="dxa" w:w="2376"/>
            <w:tcMar>
              <w:top w:w="90" w:type="dxa"/>
              <w:start w:w="100" w:type="dxa"/>
              <w:bottom w:w="90" w:type="dxa"/>
              <w:end w:w="100" w:type="dxa"/>
            </w:tcMar>
            <w:vAlign w:val="center"/>
          </w:tcPr>
          <w:p>
            <w:pPr>
              <w:jc w:val="left"/>
            </w:pPr>
            <w:r>
              <w:rPr>
                <w:sz w:val="18"/>
              </w:rPr>
              <w:t>Senior Engineering Manager</w:t>
            </w:r>
          </w:p>
        </w:tc>
        <w:tc>
          <w:tcPr>
            <w:tcW w:type="dxa" w:w="3528"/>
            <w:tcMar>
              <w:top w:w="90" w:type="dxa"/>
              <w:start w:w="100" w:type="dxa"/>
              <w:bottom w:w="90" w:type="dxa"/>
              <w:end w:w="100" w:type="dxa"/>
            </w:tcMar>
            <w:vAlign w:val="center"/>
          </w:tcPr>
          <w:p>
            <w:pPr>
              <w:jc w:val="left"/>
            </w:pPr>
            <w:r>
              <w:rPr>
                <w:sz w:val="18"/>
              </w:rPr>
              <w:t>Owns a broad engineering area and manager-level talent decisions.</w:t>
            </w:r>
          </w:p>
        </w:tc>
        <w:tc>
          <w:tcPr>
            <w:tcW w:type="dxa" w:w="2880"/>
            <w:tcMar>
              <w:top w:w="90" w:type="dxa"/>
              <w:start w:w="100" w:type="dxa"/>
              <w:bottom w:w="90" w:type="dxa"/>
              <w:end w:w="100" w:type="dxa"/>
            </w:tcMar>
            <w:vAlign w:val="center"/>
          </w:tcPr>
          <w:p>
            <w:pPr>
              <w:jc w:val="left"/>
            </w:pPr>
            <w:r>
              <w:rPr>
                <w:sz w:val="18"/>
              </w:rPr>
              <w:t>Creates operating mechanisms, succession plans, and sustainable delivery models.</w:t>
            </w:r>
          </w:p>
        </w:tc>
      </w:tr>
      <w:tr>
        <w:tc>
          <w:tcPr>
            <w:tcW w:type="dxa" w:w="1080"/>
            <w:tcMar>
              <w:top w:w="90" w:type="dxa"/>
              <w:start w:w="100" w:type="dxa"/>
              <w:bottom w:w="90" w:type="dxa"/>
              <w:end w:w="100" w:type="dxa"/>
            </w:tcMar>
            <w:vAlign w:val="center"/>
          </w:tcPr>
          <w:p>
            <w:pPr>
              <w:jc w:val="center"/>
            </w:pPr>
            <w:r>
              <w:rPr>
                <w:sz w:val="18"/>
              </w:rPr>
              <w:t>EM4</w:t>
            </w:r>
          </w:p>
        </w:tc>
        <w:tc>
          <w:tcPr>
            <w:tcW w:type="dxa" w:w="2376"/>
            <w:tcMar>
              <w:top w:w="90" w:type="dxa"/>
              <w:start w:w="100" w:type="dxa"/>
              <w:bottom w:w="90" w:type="dxa"/>
              <w:end w:w="100" w:type="dxa"/>
            </w:tcMar>
            <w:vAlign w:val="center"/>
          </w:tcPr>
          <w:p>
            <w:pPr>
              <w:jc w:val="left"/>
            </w:pPr>
            <w:r>
              <w:rPr>
                <w:sz w:val="18"/>
              </w:rPr>
              <w:t>Director, Engineering</w:t>
            </w:r>
          </w:p>
        </w:tc>
        <w:tc>
          <w:tcPr>
            <w:tcW w:type="dxa" w:w="3528"/>
            <w:tcMar>
              <w:top w:w="90" w:type="dxa"/>
              <w:start w:w="100" w:type="dxa"/>
              <w:bottom w:w="90" w:type="dxa"/>
              <w:end w:w="100" w:type="dxa"/>
            </w:tcMar>
            <w:vAlign w:val="center"/>
          </w:tcPr>
          <w:p>
            <w:pPr>
              <w:jc w:val="left"/>
            </w:pPr>
            <w:r>
              <w:rPr>
                <w:sz w:val="18"/>
              </w:rPr>
              <w:t>Leads several teams or a country/domain engineering function.</w:t>
            </w:r>
          </w:p>
        </w:tc>
        <w:tc>
          <w:tcPr>
            <w:tcW w:type="dxa" w:w="2880"/>
            <w:tcMar>
              <w:top w:w="90" w:type="dxa"/>
              <w:start w:w="100" w:type="dxa"/>
              <w:bottom w:w="90" w:type="dxa"/>
              <w:end w:w="100" w:type="dxa"/>
            </w:tcMar>
            <w:vAlign w:val="center"/>
          </w:tcPr>
          <w:p>
            <w:pPr>
              <w:jc w:val="left"/>
            </w:pPr>
            <w:r>
              <w:rPr>
                <w:sz w:val="18"/>
              </w:rPr>
              <w:t>Sets organizational priorities, shapes budgets, and aligns leaders on execution tradeoffs.</w:t>
            </w:r>
          </w:p>
        </w:tc>
      </w:tr>
    </w:tbl>
    <w:p>
      <w:pPr>
        <w:pStyle w:val="SectionHeading"/>
      </w:pPr>
      <w:r>
        <w:t>Core dimensions used in level calibration</w:t>
      </w:r>
    </w:p>
    <w:p>
      <w:pPr>
        <w:pStyle w:val="Compact"/>
      </w:pPr>
      <w:r>
        <w:rPr>
          <w:b/>
        </w:rPr>
        <w:t xml:space="preserve">Delivery leadership: </w:t>
      </w:r>
      <w:r>
        <w:t>Creates clarity on priorities, staffing, execution risk, and outcomes.</w:t>
      </w:r>
    </w:p>
    <w:p>
      <w:pPr>
        <w:pStyle w:val="Compact"/>
      </w:pPr>
      <w:r>
        <w:rPr>
          <w:b/>
        </w:rPr>
        <w:t xml:space="preserve">Talent management: </w:t>
      </w:r>
      <w:r>
        <w:t>Hires well, develops people, addresses performance issues, and builds succession strength.</w:t>
      </w:r>
    </w:p>
    <w:p>
      <w:pPr>
        <w:pStyle w:val="Compact"/>
      </w:pPr>
      <w:r>
        <w:rPr>
          <w:b/>
        </w:rPr>
        <w:t xml:space="preserve">Technical stewardship: </w:t>
      </w:r>
      <w:r>
        <w:t>Ensures the team makes healthy technical decisions through strong partnership with technical leads.</w:t>
      </w:r>
    </w:p>
    <w:p>
      <w:pPr>
        <w:pStyle w:val="Compact"/>
      </w:pPr>
      <w:r>
        <w:rPr>
          <w:b/>
        </w:rPr>
        <w:t xml:space="preserve">Organizational influence: </w:t>
      </w:r>
      <w:r>
        <w:t>Builds trust with partners and improves how work gets done beyond one team.</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requires a shift from personal heroics to building reliable systems through people and operating mechanisms.</w:t>
      </w:r>
    </w:p>
    <w:p>
      <w:pPr>
        <w:pStyle w:val="BulletBody"/>
      </w:pPr>
      <w:r>
        <w:t xml:space="preserve">• </w:t>
      </w:r>
      <w:r>
        <w:t>Higher-level managers scale through coaching managers, clarifying interfaces between teams, and shaping organizational design.</w:t>
      </w:r>
    </w:p>
    <w:p>
      <w:pPr>
        <w:pStyle w:val="BulletBody"/>
      </w:pPr>
      <w:r>
        <w:t xml:space="preserve">• </w:t>
      </w:r>
      <w:r>
        <w:t>Promotion into manager roles is not a reward for technical tenure alone; it requires evidence of sustained people leadership capability.</w:t>
      </w:r>
    </w:p>
    <w:p>
      <w:pPr>
        <w:pStyle w:val="BulletBody"/>
      </w:pPr>
      <w:r>
        <w:t xml:space="preserve">• </w:t>
      </w:r>
      <w:r>
        <w:t>Strong written and spoken English is often important because many teams collaborate across regions. Local language use may support in-country coordination, but progression standards remain role-based and impact-based.</w:t>
      </w:r>
    </w:p>
    <w:p>
      <w:pPr>
        <w:pStyle w:val="BulletBody"/>
      </w:pPr>
      <w:r>
        <w:t xml:space="preserve">• </w:t>
      </w:r>
      <w:r>
        <w:t>Local hiring labels can vary by team. Internal career movement should continue to use consistent scope and performance expectations across functions.</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EM1 — Engineering Manager I. </w:t>
      </w:r>
      <w:r>
        <w:t>Builds team clarity, healthy rituals, and steady execution while developing individuals through regular feedback.</w:t>
      </w:r>
    </w:p>
    <w:p>
      <w:pPr>
        <w:pStyle w:val="Compact"/>
      </w:pPr>
      <w:r>
        <w:rPr>
          <w:b/>
        </w:rPr>
        <w:t xml:space="preserve">EM2 — Engineering Manager II. </w:t>
      </w:r>
      <w:r>
        <w:t>Improves staffing, delivery resilience, and cross-team alignment while strengthening manager or senior IC partnerships.</w:t>
      </w:r>
    </w:p>
    <w:p>
      <w:pPr>
        <w:pStyle w:val="Compact"/>
      </w:pPr>
      <w:r>
        <w:rPr>
          <w:b/>
        </w:rPr>
        <w:t xml:space="preserve">EM3 — Senior Engineering Manager. </w:t>
      </w:r>
      <w:r>
        <w:t>Builds operating systems for a larger engineering area and develops leaders below them.</w:t>
      </w:r>
    </w:p>
    <w:p>
      <w:pPr>
        <w:pStyle w:val="Compact"/>
      </w:pPr>
      <w:r>
        <w:rPr>
          <w:b/>
        </w:rPr>
        <w:t xml:space="preserve">EM4 — Director, Engineering. </w:t>
      </w:r>
      <w:r>
        <w:t>Shapes organizational direction, succession, and multi-team execution economics, not just project delivery.</w:t>
      </w:r>
    </w:p>
    <w:p>
      <w:pPr>
        <w:pStyle w:val="SectionHeading"/>
      </w:pPr>
      <w:r>
        <w:t>Illustrative examples in this country context</w:t>
      </w:r>
    </w:p>
    <w:p>
      <w:pPr>
        <w:pStyle w:val="BulletBody"/>
      </w:pPr>
      <w:r>
        <w:t xml:space="preserve">• </w:t>
      </w:r>
      <w:r>
        <w:t>A Business Analyst I may document an as-is process, clarify approval gaps, and support a team lead in translating them into structured requirements.</w:t>
      </w:r>
    </w:p>
    <w:p>
      <w:pPr>
        <w:pStyle w:val="BulletBody"/>
      </w:pPr>
      <w:r>
        <w:t xml:space="preserve">• </w:t>
      </w:r>
      <w:r>
        <w:t>A Senior Software Engineer may lead a major service hardening effort and coach engineers on root-cause analysis and runbook quality.</w:t>
      </w:r>
    </w:p>
    <w:p>
      <w:pPr>
        <w:pStyle w:val="BulletBody"/>
      </w:pPr>
      <w:r>
        <w:t xml:space="preserve">• </w:t>
      </w:r>
      <w:r>
        <w:t>A Data Analyst II may improve recurring leadership reporting by standardizing data checks and reducing last-minute manual corrections.</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Team health, delivery predictability, and retention or mobility indicators</w:t>
      </w:r>
    </w:p>
    <w:p>
      <w:pPr>
        <w:pStyle w:val="BulletBody"/>
      </w:pPr>
      <w:r>
        <w:t xml:space="preserve">• </w:t>
      </w:r>
      <w:r>
        <w:t>Hiring quality, onboarding quality, and evidence of talent development</w:t>
      </w:r>
    </w:p>
    <w:p>
      <w:pPr>
        <w:pStyle w:val="BulletBody"/>
      </w:pPr>
      <w:r>
        <w:t xml:space="preserve">• </w:t>
      </w:r>
      <w:r>
        <w:t>Examples of incident handling, prioritization, and cross-team conflict resolution</w:t>
      </w:r>
    </w:p>
    <w:p>
      <w:pPr>
        <w:pStyle w:val="BulletBody"/>
      </w:pPr>
      <w:r>
        <w:t xml:space="preserve">• </w:t>
      </w:r>
      <w:r>
        <w:t>Operating mechanisms such as planning cadences, review forums, or escalation paths that improved execution</w:t>
      </w:r>
    </w:p>
    <w:p>
      <w:pPr>
        <w:pStyle w:val="Compact"/>
      </w:pPr>
      <w:r>
        <w:rPr>
          <w:b/>
        </w:rPr>
        <w:t xml:space="preserve">Internal mobility. </w:t>
      </w:r>
      <w:r>
        <w:t>Engineering Managers may move across product, platform, data, or business systems teams when they understand the local delivery context and can sustain healthy technical and people practices in the new area.</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Pakistan Career Architecture | Career Architecture - Engineering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