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Anti-Harassment Policy</w:t>
      </w:r>
    </w:p>
    <w:p>
      <w:r>
        <w:t>US-HR-003  |  Category: Employee Relations  |  Version 3.0</w:t>
      </w:r>
    </w:p>
    <w:p>
      <w:r>
        <w:t>Policy owner: peopleteam@company.com  |  Related documents: US-HR-004, US-HR-005, US-HR-008, US-HR-043</w:t>
      </w:r>
    </w:p>
    <w:p>
      <w:pPr>
        <w:pStyle w:val="Heading1"/>
      </w:pPr>
      <w:r>
        <w:t>Policy Summary</w:t>
      </w:r>
    </w:p>
    <w:p>
      <w:r>
        <w:t>This policy sets out the company's rules, responsibilities, and approval requirements for anti-harassment.</w:t>
      </w:r>
    </w:p>
    <w:p>
      <w:r>
        <w:t>Questions about this document should be sent to peopleteam@company.com. When a matter spans more than one process, the receiving team may coordinate with the relevant function named in the related documents.</w:t>
      </w:r>
    </w:p>
    <w:p>
      <w:r>
        <w:t>Applicable federal, state, and local law, current plan documents, and individual contractual terms override this document where they provide greater protection or require a different process.</w:t>
      </w:r>
    </w:p>
    <w:p>
      <w:r>
        <w:t>The company prohibits harassment, including sexual harassment, hostile verbal conduct, discriminatory comments, and repeated unwelcome behavior that unreasonably interferes with a person's work environment. The policy protects employees, interns, temporary staff, applicants, and contractors who work under company supervision.</w:t>
      </w:r>
    </w:p>
    <w:p>
      <w:pPr>
        <w:pStyle w:val="Heading2"/>
      </w:pPr>
      <w:r>
        <w:t>Quick Reference</w:t>
      </w:r>
    </w:p>
    <w:p>
      <w:pPr>
        <w:pStyle w:val="ListBullet"/>
      </w:pPr>
      <w:r>
        <w:t>Questions: peopleteam@company.com</w:t>
      </w:r>
    </w:p>
    <w:p>
      <w:pPr>
        <w:pStyle w:val="ListBullet"/>
      </w:pPr>
      <w:r>
        <w:t>Escalate sensitive matters on the same business day.</w:t>
      </w:r>
    </w:p>
    <w:p>
      <w:pPr>
        <w:pStyle w:val="ListBullet"/>
      </w:pPr>
      <w:r>
        <w:t>Document decisions that affect pay, access, leave, or employment status.</w:t>
      </w:r>
    </w:p>
    <w:p>
      <w:pPr>
        <w:pStyle w:val="Heading1"/>
      </w:pPr>
      <w:r>
        <w:t>What Counts as Harassment</w:t>
      </w:r>
    </w:p>
    <w:p>
      <w:r>
        <w:t>Harassment may be verbal, physical, visual, or digital. Examples include repeated sexual comments, offensive jokes about protected characteristics, unwelcome touching, threatening messages, stalking-like monitoring of a colleague's activity, or displaying insulting images during meetings or in workspaces.</w:t>
      </w:r>
    </w:p>
    <w:p>
      <w:r>
        <w:t>Intent is not the deciding factor. A statement can violate this policy even when the speaker claims it was humorous or unplanned if the behavior is unwelcome and serious enough or repeated enough to create a hostile environment.</w:t>
      </w:r>
    </w:p>
    <w:p>
      <w:r>
        <w:t>Harassment can occur between peers, from a manager to a team member, or from a third party such as a client or vendor. Managers must act when they observe likely harassment even if no formal complaint has yet been filed.</w:t>
      </w:r>
    </w:p>
    <w:p>
      <w:pPr>
        <w:pStyle w:val="Heading1"/>
      </w:pPr>
      <w:r>
        <w:t>Reporting and Interim Protection</w:t>
      </w:r>
    </w:p>
    <w:p>
      <w:r>
        <w:t>Employees may report directly to employee relations, compliance, or any manager they trust. Reports should be escalated the same business day when they describe threats, sexual conduct, retaliation, or behavior that could put an employee at immediate risk.</w:t>
      </w:r>
    </w:p>
    <w:p>
      <w:r>
        <w:t>Sensitive harassment reports should receive human acknowledgement within 4 business hours. Interim measures may include schedule adjustments, temporary reporting changes, or a no-contact instruction while facts are reviewed.</w:t>
      </w:r>
    </w:p>
    <w:p>
      <w:r>
        <w:t>Investigations are confidential to the extent possible, but absolute confidentiality cannot be guaranteed because relevant people may need to be interviewed and evidence may need to be reviewed.</w:t>
      </w:r>
    </w:p>
    <w:p>
      <w:pPr>
        <w:pStyle w:val="Heading1"/>
      </w:pPr>
      <w:r>
        <w:t>Examples</w:t>
      </w:r>
    </w:p>
    <w:p>
      <w:r>
        <w:t>Example: A colleague repeatedly comments on another employee's appearance, sends them late-night private messages after being asked to stop, and jokes publicly that they should be more "friendly." This is unwelcome conduct and should be handled as a harassment concern, not a personality conflict.</w:t>
      </w:r>
    </w:p>
    <w:p>
      <w:r>
        <w:t>Example: A vendor makes demeaning comments about an employee's nationality during a call. The company must still act, including documenting the incident and addressing the vendor relationship if necessary.</w:t>
      </w:r>
    </w:p>
    <w:p>
      <w:pPr>
        <w:pStyle w:val="Heading1"/>
      </w:pPr>
      <w:r>
        <w:t>Governance</w:t>
      </w:r>
    </w:p>
    <w:p>
      <w:r>
        <w:t>This document should be read together with US-HR-004, US-HR-005, US-HR-008, US-HR-043.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federal, state, and local legal requirements.</w:t>
      </w:r>
    </w:p>
    <w:p>
      <w:pPr>
        <w:pStyle w:val="Heading1"/>
      </w:pPr>
      <w:r>
        <w:t>Illustrative FAQ</w:t>
      </w:r>
    </w:p>
    <w:p>
      <w:pPr>
        <w:pStyle w:val="ListBullet"/>
      </w:pPr>
      <w:r>
        <w:t>Who should I contact first? Start with peopleteam@company.com.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federal, state, or local law conflicts with this document? The stricter legal requirement, current plan document, or written local supplement controls. Employees and managers should follow the applicable U.S. rule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