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Grievance Intake and Resolution Procedure</w:t>
      </w:r>
    </w:p>
    <w:p>
      <w:r>
        <w:t>US-HR-005  |  Category: Employee Relations  |  Version 3.0</w:t>
      </w:r>
    </w:p>
    <w:p>
      <w:r>
        <w:t>Policy owner: peopleteam@company.com  |  Related documents: US-HR-001, US-HR-003, US-HR-004, US-HR-049</w:t>
      </w:r>
    </w:p>
    <w:p>
      <w:pPr>
        <w:pStyle w:val="Heading1"/>
      </w:pPr>
      <w:r>
        <w:t>Policy Summary</w:t>
      </w:r>
    </w:p>
    <w:p>
      <w:r>
        <w:t>This procedure explains how requests, approvals, documentation, and follow-up are handled for grievance intake and resolution.</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A grievance is a formal workplace complaint that requires documented intake, fact review, and a written outcome. Typical subjects include repeated disrespect, inconsistent policy application, manager behavior, unfair scheduling, and unresolved interpersonal conflict that affects work.</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Intake Rules</w:t>
      </w:r>
    </w:p>
    <w:p>
      <w:r>
        <w:t>The grievance intake should capture who is involved, what happened, when it happened, who witnessed it, and what resolution the employee is seeking. Employees may submit a grievance directly or ask for help writing it if literacy, language, disability, or emotional distress is making that difficult.</w:t>
      </w:r>
    </w:p>
    <w:p>
      <w:r>
        <w:t>Routine grievances should be acknowledged within 8 business hours and triaged within 3 business days. Cases involving harassment, discrimination, retaliation, violence, wage risk, or immediate safety risk should bypass routine triage and move to the appropriate specialist team.</w:t>
      </w:r>
    </w:p>
    <w:p>
      <w:pPr>
        <w:pStyle w:val="Heading1"/>
      </w:pPr>
      <w:r>
        <w:t>Review Process</w:t>
      </w:r>
    </w:p>
    <w:p>
      <w:r>
        <w:t>The assigned reviewer should determine whether the issue is best handled through manager coaching, informal mediation, a formal investigation, or referral to a specialist process such as payroll correction or accommodation review.</w:t>
      </w:r>
    </w:p>
    <w:p>
      <w:r>
        <w:t>A grievance outcome should summarize the issue reviewed, evidence considered, whether policy was substantiated, what corrective or preventive action will follow, and whether any part of the request falls outside the company's discretion because of law or plan design.</w:t>
      </w:r>
    </w:p>
    <w:p>
      <w:pPr>
        <w:pStyle w:val="Heading1"/>
      </w:pPr>
      <w:r>
        <w:t>Examples</w:t>
      </w:r>
    </w:p>
    <w:p>
      <w:r>
        <w:t>Example: An employee alleges their manager routinely approves one team member's time-off requests while denying similar requests from others without clear reasons. This should be reviewed as a grievance because it concerns fairness and possible selective enforcement of US-HR-020.</w:t>
      </w:r>
    </w:p>
    <w:p>
      <w:r>
        <w:t>Example: Two peers exchange blunt messages during a deadline crunch. A single rude exchange may be addressed through manager coaching, while a repeated pattern of humiliation or exclusion may justify a formal grievance.</w:t>
      </w:r>
    </w:p>
    <w:p>
      <w:pPr>
        <w:pStyle w:val="Heading1"/>
      </w:pPr>
      <w:r>
        <w:t>Governance</w:t>
      </w:r>
    </w:p>
    <w:p>
      <w:r>
        <w:t>This document should be read together with US-HR-001, US-HR-003, US-HR-004, US-HR-049.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