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Equal Opportunity and Non-Discrimination Policy</w:t>
      </w:r>
    </w:p>
    <w:p>
      <w:r>
        <w:t>US-HR-008  |  Category: Compliance  |  Version 3.0</w:t>
      </w:r>
    </w:p>
    <w:p>
      <w:r>
        <w:t>Policy owner: compliance@company.com  |  Related documents: US-HR-003, US-HR-009, US-HR-010, US-HR-029</w:t>
      </w:r>
    </w:p>
    <w:p>
      <w:pPr>
        <w:pStyle w:val="Heading1"/>
      </w:pPr>
      <w:r>
        <w:t>Policy Summary</w:t>
      </w:r>
    </w:p>
    <w:p>
      <w:r>
        <w:t>This policy sets out the company's rules, responsibilities, and approval requirements for equal opportunity and non-discrimination.</w:t>
      </w:r>
    </w:p>
    <w:p>
      <w:r>
        <w:t>Questions about this document should be sent to compliance@company.com. When a matter spans more than one process, the receiving team may coordinate with the relevant function named in the related documents.</w:t>
      </w:r>
    </w:p>
    <w:p>
      <w:r>
        <w:t>Applicable federal, state, and local law, current plan documents, and individual contractual terms override this document where they provide greater protection or require a different process.</w:t>
      </w:r>
    </w:p>
    <w:p>
      <w:r>
        <w:t>The company makes employment decisions based on qualifications, skills, business need, and documented performance, without unlawful discrimination. This applies to recruiting, hiring, pay, training, promotion, performance review, discipline, leave administration, accommodations, and separation.</w:t>
      </w:r>
    </w:p>
    <w:p>
      <w:pPr>
        <w:pStyle w:val="Heading2"/>
      </w:pPr>
      <w:r>
        <w:t>Quick Reference</w:t>
      </w:r>
    </w:p>
    <w:p>
      <w:pPr>
        <w:pStyle w:val="ListBullet"/>
      </w:pPr>
      <w:r>
        <w:t>Questions: compliance@company.com</w:t>
      </w:r>
    </w:p>
    <w:p>
      <w:pPr>
        <w:pStyle w:val="ListBullet"/>
      </w:pPr>
      <w:r>
        <w:t>Escalate sensitive matters on the same business day.</w:t>
      </w:r>
    </w:p>
    <w:p>
      <w:pPr>
        <w:pStyle w:val="ListBullet"/>
      </w:pPr>
      <w:r>
        <w:t>Document decisions that affect pay, access, leave, or employment status.</w:t>
      </w:r>
    </w:p>
    <w:p>
      <w:pPr>
        <w:pStyle w:val="Heading1"/>
      </w:pPr>
      <w:r>
        <w:t>Operational Rules</w:t>
      </w:r>
    </w:p>
    <w:p>
      <w:r>
        <w:t>Selection criteria must be job-related and documented before interviews begin. Teams should avoid informal gatekeeping such as "culture fit" language that is not tied to observable requirements.</w:t>
      </w:r>
    </w:p>
    <w:p>
      <w:r>
        <w:t>Employees who believe a decision was discriminatory may use the grievance process or write to peopleteam@company.com. Managers must escalate any concern involving a protected characteristic and should not attempt to resolve the matter privately.</w:t>
      </w:r>
    </w:p>
    <w:p>
      <w:pPr>
        <w:pStyle w:val="Heading1"/>
      </w:pPr>
      <w:r>
        <w:t>Examples</w:t>
      </w:r>
    </w:p>
    <w:p>
      <w:r>
        <w:t>A recruiter may require data-analysis experience for a data role, but may not exclude a candidate because of age, disability, pregnancy, religion, or another protected characteristic.</w:t>
      </w:r>
    </w:p>
    <w:p>
      <w:r>
        <w:t>If two employees seek the same training opportunity, the decision should be based on role relevance, timing, and budget rather than personal preference or stereotype.</w:t>
      </w:r>
    </w:p>
    <w:p>
      <w:pPr>
        <w:pStyle w:val="Heading1"/>
      </w:pPr>
      <w:r>
        <w:t>Governance</w:t>
      </w:r>
    </w:p>
    <w:p>
      <w:r>
        <w:t>This document should be read together with US-HR-003, US-HR-009, US-HR-010, US-HR-029. Where a process touches payroll, leave, performance, or data privacy, the specialized document governs the detailed step-by-step rules and this document supplies the policy intent.</w:t>
      </w:r>
    </w:p>
    <w:p>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r>
        <w:t>Examples in this document are illustrative and are included to clarify how the policy is applied in common workplace situations. They do not replace federal, state, and local legal requirements.</w:t>
      </w:r>
    </w:p>
    <w:p>
      <w:pPr>
        <w:pStyle w:val="Heading1"/>
      </w:pPr>
      <w:r>
        <w:t>Illustrative FAQ</w:t>
      </w:r>
    </w:p>
    <w:p>
      <w:pPr>
        <w:pStyle w:val="ListBullet"/>
      </w:pPr>
      <w:r>
        <w:t>Who should I contact first? Start with compliance@company.com. If the issue belongs to another team, the receiving team will redirect it or ask the right function to join.</w:t>
      </w:r>
    </w:p>
    <w:p>
      <w:pPr>
        <w:pStyle w:val="ListBullet"/>
      </w:pPr>
      <w:r>
        <w:t>Can a manager override the policy verbally? No. Managers may explain context and recommend an exception, but decisions that affect pay, statutory rights, benefits, privacy, or discipline must follow the documented process.</w:t>
      </w:r>
    </w:p>
    <w:p>
      <w:pPr>
        <w:pStyle w:val="ListBullet"/>
      </w:pPr>
      <w:r>
        <w:t>What happens when federal, state, or local law conflicts with this document? The stricter legal requirement, current plan document, or written local supplement controls. Employees and managers should follow the applicable U.S. rule where it grants greater protection or sets a different process.</w:t>
      </w:r>
    </w:p>
    <w:sectPr w:rsidR="00FC693F" w:rsidRPr="0006063C" w:rsidSect="00034616">
      <w:footerReference w:type="default" r:id="rId9"/>
      <w:pgSz w:w="12240" w:h="15840"/>
      <w:pgMar w:top="1008"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A497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64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A497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