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Accessibility and Workplace Accommodation Policy</w:t>
      </w:r>
    </w:p>
    <w:p>
      <w:r>
        <w:t>US-HR-010  |  Category: HR Operations  |  Version 3.0</w:t>
      </w:r>
    </w:p>
    <w:p>
      <w:r>
        <w:t>Policy owner: peopleteam@company.com  |  Related documents: US-HR-008, US-HR-017, US-HR-021, US-HR-041</w:t>
      </w:r>
    </w:p>
    <w:p>
      <w:pPr>
        <w:pStyle w:val="Heading1"/>
      </w:pPr>
      <w:r>
        <w:t>Policy Summary</w:t>
      </w:r>
    </w:p>
    <w:p>
      <w:r>
        <w:t>This policy sets out the company's rules, responsibilities, and approval requirements for accessibility and workplace accommodation.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Employees and applicants may request reasonable accommodation for disability, pregnancy-related needs, religious practice, or other protected circumstances where law requires an interactive review.</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Accommodation Process</w:t>
      </w:r>
    </w:p>
    <w:p>
      <w:r>
        <w:t>Requests should be acknowledged within 4 business hours when the employee is unable to work safely or effectively without support. Medical documentation may be requested only when necessary to understand the limitation or the duration of the need.</w:t>
      </w:r>
    </w:p>
    <w:p>
      <w:r>
        <w:t>Potential accommodations may include adjusted equipment, modified schedule, remote-work flexibility where the role allows it, communication support, or temporary reassignment of marginal duties.</w:t>
      </w:r>
    </w:p>
    <w:p>
      <w:pPr>
        <w:pStyle w:val="Heading1"/>
      </w:pPr>
      <w:r>
        <w:t>Examples</w:t>
      </w:r>
    </w:p>
    <w:p>
      <w:r>
        <w:t>An employee recovering from surgery may need a temporary ergonomic workstation and reduced travel. A recruiter may need captioning support for an applicant during interviews.</w:t>
      </w:r>
    </w:p>
    <w:p>
      <w:r>
        <w:t>Managers must not reject accommodation requests unilaterally because they believe the team can "manage without it." HR or compliance must review feasibility and undue-hardship questions.</w:t>
      </w:r>
    </w:p>
    <w:p>
      <w:pPr>
        <w:pStyle w:val="Heading1"/>
      </w:pPr>
      <w:r>
        <w:t>Governance</w:t>
      </w:r>
    </w:p>
    <w:p>
      <w:r>
        <w:t>This document should be read together with US-HR-008, US-HR-017, US-HR-021, US-HR-041.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