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Retirement Savings and Financial Wellbeing Policy</w:t>
      </w:r>
    </w:p>
    <w:p>
      <w:r>
        <w:t>US-HR-015  |  Category: Benefits  |  Version 3.0</w:t>
      </w:r>
    </w:p>
    <w:p>
      <w:r>
        <w:t>Policy owner: benefits@company.com  |  Related documents: US-HR-011, US-HR-028, US-HR-046</w:t>
      </w:r>
    </w:p>
    <w:p>
      <w:pPr>
        <w:pStyle w:val="Heading1"/>
      </w:pPr>
      <w:r>
        <w:t>Policy Summary</w:t>
      </w:r>
    </w:p>
    <w:p>
      <w:r>
        <w:t>This policy sets out the company's rules, responsibilities, and approval requirements for retirement savings and financial wellbeing.</w:t>
      </w:r>
    </w:p>
    <w:p>
      <w:r>
        <w:t>Questions about this document should be sent to benefits@company.com. When a matter spans more than one process, the receiving team may coordinate with the relevant function named in the related documents.</w:t>
      </w:r>
    </w:p>
    <w:p>
      <w:r>
        <w:t>Applicable federal, state, and local law, current plan documents, and individual contractual terms override this document where they provide greater protection or require a different process.</w:t>
      </w:r>
    </w:p>
    <w:p>
      <w:r>
        <w:t>Where legally permitted, the company offers a 401(k) retirement savings plan with company matching contributions. Under the base policy, the company matches 100 percent of employee contributions up to 4 percent of eligible pay after 90 days of service.</w:t>
      </w:r>
    </w:p>
    <w:p>
      <w:pPr>
        <w:pStyle w:val="Heading2"/>
      </w:pPr>
      <w:r>
        <w:t>Quick Reference</w:t>
      </w:r>
    </w:p>
    <w:p>
      <w:pPr>
        <w:pStyle w:val="ListBullet"/>
      </w:pPr>
      <w:r>
        <w:t>Questions: benefits@company.com</w:t>
      </w:r>
    </w:p>
    <w:p>
      <w:pPr>
        <w:pStyle w:val="ListBullet"/>
      </w:pPr>
      <w:r>
        <w:t>Base eligibility threshold: 30 hours per week</w:t>
      </w:r>
    </w:p>
    <w:p>
      <w:pPr>
        <w:pStyle w:val="ListBullet"/>
      </w:pPr>
      <w:r>
        <w:t>Life-event change window: 30 calendar days</w:t>
      </w:r>
    </w:p>
    <w:p>
      <w:pPr>
        <w:pStyle w:val="Heading1"/>
      </w:pPr>
      <w:r>
        <w:t>Participation Rules</w:t>
      </w:r>
    </w:p>
    <w:p>
      <w:r>
        <w:t>Employees may elect or change deferral percentages through the retirement administrator, subject to payroll cutoff dates. Company matching begins on the next feasible payroll cycle after eligibility is met.</w:t>
      </w:r>
    </w:p>
    <w:p>
      <w:r>
        <w:t>Employee contributions are always immediately vested. Company matching contributions vest fully after 3 completed years of service unless the current plan document provides faster vesting.</w:t>
      </w:r>
    </w:p>
    <w:p>
      <w:pPr>
        <w:pStyle w:val="Heading1"/>
      </w:pPr>
      <w:r>
        <w:t>Financial Wellbeing Resources</w:t>
      </w:r>
    </w:p>
    <w:p>
      <w:r>
        <w:t>Employees may access webinars, budgeting tools, and planning resources to support retirement readiness and basic financial wellbeing. These resources are educational and are not individualized investment advice from the company.</w:t>
      </w:r>
    </w:p>
    <w:p>
      <w:r>
        <w:t>Loans, hardship withdrawals, Roth and pre-tax deferrals, and beneficiary designations depend on the current plan design and administrator rules.</w:t>
      </w:r>
    </w:p>
    <w:p>
      <w:pPr>
        <w:pStyle w:val="Heading1"/>
      </w:pPr>
      <w:r>
        <w:t>Examples</w:t>
      </w:r>
    </w:p>
    <w:p>
      <w:r>
        <w:t>An employee contributing 4 percent of salary receives the full company match under the base rule. Contributing 6 percent does not increase the company match beyond 4 percent.</w:t>
      </w:r>
    </w:p>
    <w:p>
      <w:r>
        <w:t>If an employee leaves after two years, unvested company-match amounts may be forfeited according to the plan. Employee contributions remain theirs.</w:t>
      </w:r>
    </w:p>
    <w:p>
      <w:pPr>
        <w:pStyle w:val="Heading1"/>
      </w:pPr>
      <w:r>
        <w:t>Governance</w:t>
      </w:r>
    </w:p>
    <w:p>
      <w:r>
        <w:t>This document should be read together with US-HR-011, US-HR-028, US-HR-046. Where a process touches payroll, leave, performance, or data privacy, the specialized document governs the detailed step-by-step rules and this document supplies the policy intent.</w:t>
      </w:r>
    </w:p>
    <w:p>
      <w:r>
        <w:t>Managers are expected to apply policy consistently, document exceptions, and avoid verbal promises that override published rules. HR teams must keep case information on a need-to-know basis and use written summaries whenever a decision materially affects pay, benefits, schedule, or employment status.</w:t>
      </w:r>
    </w:p>
    <w:p>
      <w:r>
        <w:t>Examples in this document are illustrative and are included to clarify how the policy is applied in common workplace situations. They do not replace federal, state, and local legal requirements.</w:t>
      </w:r>
    </w:p>
    <w:p>
      <w:pPr>
        <w:pStyle w:val="Heading1"/>
      </w:pPr>
      <w:r>
        <w:t>Illustrative FAQ</w:t>
      </w:r>
    </w:p>
    <w:p>
      <w:pPr>
        <w:pStyle w:val="ListBullet"/>
      </w:pPr>
      <w:r>
        <w:t>Who should I contact first? Start with benefits@company.com. If the issue belongs to another team, the receiving team will redirect it or ask the right function to join.</w:t>
      </w:r>
    </w:p>
    <w:p>
      <w:pPr>
        <w:pStyle w:val="ListBullet"/>
      </w:pPr>
      <w:r>
        <w:t>Can a manager override the policy verbally? No. Managers may explain context and recommend an exception, but decisions that affect pay, statutory rights, benefits, privacy, or discipline must follow the documented process.</w:t>
      </w:r>
    </w:p>
    <w:p>
      <w:pPr>
        <w:pStyle w:val="ListBullet"/>
      </w:pPr>
      <w:r>
        <w:t>What happens when federal, state, or local law conflicts with this document? The stricter legal requirement, current plan document, or written local supplement controls. Employees and managers should follow the applicable U.S. rule where it grants greater protection or sets a different process.</w:t>
      </w:r>
    </w:p>
    <w:sectPr w:rsidR="00FC693F" w:rsidRPr="0006063C" w:rsidSect="00034616">
      <w:footerReference w:type="default" r:id="rId9"/>
      <w:pgSz w:w="12240" w:h="15840"/>
      <w:pgMar w:top="1008" w:right="1224" w:bottom="864"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Page </w:t>
    </w:r>
    <w:fldSimple w:instr="PAGE">
      <w:r>
        <w:t>1</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76"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1A4974"/>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64646"/>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b/>
      <w:color w:val="1A4974"/>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