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Leave and Return-to-Work Procedure</w:t>
      </w:r>
    </w:p>
    <w:p>
      <w:r>
        <w:t>US-HR-021  |  Category: Leave  |  Version 3.0</w:t>
      </w:r>
    </w:p>
    <w:p>
      <w:r>
        <w:t>Policy owner: peopleteam@company.com  |  Related documents: US-HR-010, US-HR-017, US-HR-018, US-HR-020</w:t>
      </w:r>
    </w:p>
    <w:p>
      <w:pPr>
        <w:pStyle w:val="Heading1"/>
      </w:pPr>
      <w:r>
        <w:t>Policy Summary</w:t>
      </w:r>
    </w:p>
    <w:p>
      <w:r>
        <w:t>This procedure explains how requests, approvals, documentation, and follow-up are handled for extended leave and return-to-work.</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Extended leave covers absences that go beyond ordinary short-term sick leave or PTO and require coordinated case handling across HR, payroll, benefits, and sometimes occupational health.</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work with the People Team at peopleteam@company.com on extended leave planning, documentation, and return-to-work arrangements.</w:t>
      </w:r>
    </w:p>
    <w:p>
      <w:pPr>
        <w:pStyle w:val="Heading1"/>
      </w:pPr>
      <w:r>
        <w:t>When Extended Leave Applies</w:t>
      </w:r>
    </w:p>
    <w:p>
      <w:r>
        <w:t>Cases usually move into extended leave when the absence is expected to exceed 5 consecutive workdays for medical reasons, when statutory family or disability leave applies, or when an employee cannot return to full duty without a documented transitional plan.</w:t>
      </w:r>
    </w:p>
    <w:p>
      <w:r>
        <w:t>HR should designate a case owner, confirm what documentation is necessary, explain pay treatment, and schedule check-in points so the employee is not left guessing about status.</w:t>
      </w:r>
    </w:p>
    <w:p>
      <w:pPr>
        <w:pStyle w:val="Heading1"/>
      </w:pPr>
      <w:r>
        <w:t>Return to Work</w:t>
      </w:r>
    </w:p>
    <w:p>
      <w:r>
        <w:t>Before returning, the employee may need fit-for-duty clearance that focuses on functional restrictions rather than confidential medical detail. Transitional duties, reduced hours, or temporary remote work may be considered where operationally feasible and legally appropriate.</w:t>
      </w:r>
    </w:p>
    <w:p>
      <w:r>
        <w:t>Managers must not pressure employees to return early or perform duties that conflict with documented restrictions.</w:t>
      </w:r>
    </w:p>
    <w:p>
      <w:pPr>
        <w:pStyle w:val="Heading1"/>
      </w:pPr>
      <w:r>
        <w:t>Examples</w:t>
      </w:r>
    </w:p>
    <w:p>
      <w:r>
        <w:t>An employee absent after surgery for three weeks should move from ordinary sick-leave handling into an extended-leave case with a named HR owner.</w:t>
      </w:r>
    </w:p>
    <w:p>
      <w:r>
        <w:t>An employee returning with a restriction against travel for four weeks may resume desk-based work while travel duties are temporarily reassigned.</w:t>
      </w:r>
    </w:p>
    <w:p>
      <w:pPr>
        <w:pStyle w:val="Heading1"/>
      </w:pPr>
      <w:r>
        <w:t>Governance</w:t>
      </w:r>
    </w:p>
    <w:p>
      <w:r>
        <w:t>This document should be read together with US-HR-010, US-HR-017, US-HR-018, US-HR-020.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