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Business Expense Approval Rules</w:t>
      </w:r>
    </w:p>
    <w:p>
      <w:r>
        <w:t>US-HR-026  |  Category: Payroll  |  Version 3.0</w:t>
      </w:r>
    </w:p>
    <w:p>
      <w:r>
        <w:t>Policy owner: payroll@company.com  |  Related documents: US-HR-025, US-HR-049, US-HR-050</w:t>
      </w:r>
    </w:p>
    <w:p>
      <w:pPr>
        <w:pStyle w:val="Heading1"/>
      </w:pPr>
      <w:r>
        <w:t>Policy Summary</w:t>
      </w:r>
    </w:p>
    <w:p>
      <w:r>
        <w:t>This document explains the operating rules, documentation requirements, and approval steps for travel and business expense approval.</w:t>
      </w:r>
    </w:p>
    <w:p>
      <w:r>
        <w:t>Questions about this document should be sent to payroll@company.com.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Domestic hotel bookings should normally remain at or below USD 175 per night before taxes and fees, and international hotel bookings at or below USD 250 unless local market conditions or security needs justify an exception. Daily meal guidance is USD 55 domestic and USD 75 international unless local per-diem rules apply.</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Travel and Business Expense Approval</w:t>
      </w:r>
    </w:p>
    <w:p>
      <w:r>
        <w:t>Air travel should be booked in economy class for flights under six hours. Premium economy or business class requires advance approval under the travel-approval matrix.</w:t>
      </w:r>
    </w:p>
    <w:p>
      <w:r>
        <w:t>Example: A same-day client trip may justify train travel even if it costs slightly more than a budget flight when it materially reduces total travel time.</w:t>
      </w:r>
    </w:p>
    <w:p>
      <w:pPr>
        <w:pStyle w:val="Heading1"/>
      </w:pPr>
      <w:r>
        <w:t>Governance</w:t>
      </w:r>
    </w:p>
    <w:p>
      <w:r>
        <w:t>This document should be read together with US-HR-025, US-HR-049, US-HR-050.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