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Data Privacy Notice</w:t>
      </w:r>
    </w:p>
    <w:p>
      <w:r>
        <w:t>US-HR-030  |  Category: Recruitment  |  Version 3.0</w:t>
      </w:r>
    </w:p>
    <w:p>
      <w:r>
        <w:t>Policy owner: recruitment@company.com  |  Related documents: US-HR-029, US-HR-031, US-HR-032, US-HR-033</w:t>
      </w:r>
    </w:p>
    <w:p>
      <w:pPr>
        <w:pStyle w:val="Heading1"/>
      </w:pPr>
      <w:r>
        <w:t>Policy Summary</w:t>
      </w:r>
    </w:p>
    <w:p>
      <w:r>
        <w:t>This notice explains what information is collected, how it is used, and what rights or controls apply in connection with candidate data privacy.</w:t>
      </w:r>
    </w:p>
    <w:p>
      <w:r>
        <w:t>Questions about this document should be sent to recruitment@company.com.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Candidate data is collected to assess suitability, conduct lawful pre-employment checks, communicate about opportunities, and comply with legal obligations. Access is limited to people involved in hiring, onboarding, security review, or lawful recordkeeping.</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Candidate Data Privacy Notice</w:t>
      </w:r>
    </w:p>
    <w:p>
      <w:r>
        <w:t>Candidate records are retained only for the period stated in the U.S. retention schedule or the minimum period needed to defend hiring decisions. Sensitive data should not be collected unless it is required for accommodation, lawful background checks, or employment-eligibility follow-up.</w:t>
      </w:r>
    </w:p>
    <w:p>
      <w:r>
        <w:t>Example: Interview notes should focus on observable skills and evidence, not personal speculation about health, age, or family plans.</w:t>
      </w:r>
    </w:p>
    <w:p>
      <w:pPr>
        <w:pStyle w:val="Heading1"/>
      </w:pPr>
      <w:r>
        <w:t>Governance</w:t>
      </w:r>
    </w:p>
    <w:p>
      <w:r>
        <w:t>This document should be read together with US-HR-029, US-HR-031, US-HR-032, US-HR-033.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